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475221431"/>
        <w:docPartObj>
          <w:docPartGallery w:val="Table of Contents"/>
          <w:docPartUnique/>
        </w:docPartObj>
      </w:sdtPr>
      <w:sdtEndPr>
        <w:rPr>
          <w:rFonts w:ascii="Arial" w:eastAsiaTheme="minorEastAsia" w:hAnsi="Arial" w:cs="Arial"/>
          <w:color w:val="auto"/>
          <w:sz w:val="24"/>
          <w:szCs w:val="24"/>
          <w:lang w:eastAsia="ja-JP"/>
        </w:rPr>
      </w:sdtEndPr>
      <w:sdtContent>
        <w:p w:rsidR="001241E3" w:rsidRDefault="001241E3" w:rsidP="001241E3">
          <w:pPr>
            <w:pStyle w:val="TtulodeTDC"/>
            <w:jc w:val="center"/>
            <w:rPr>
              <w:rFonts w:ascii="Arial" w:hAnsi="Arial" w:cs="Arial"/>
              <w:sz w:val="36"/>
              <w:szCs w:val="36"/>
              <w:lang w:val="es-ES"/>
            </w:rPr>
          </w:pPr>
          <w:r w:rsidRPr="001241E3">
            <w:rPr>
              <w:rFonts w:ascii="Arial" w:hAnsi="Arial" w:cs="Arial"/>
              <w:sz w:val="36"/>
              <w:szCs w:val="36"/>
              <w:lang w:val="es-ES"/>
            </w:rPr>
            <w:t>CONTENIDO</w:t>
          </w:r>
        </w:p>
        <w:p w:rsidR="001241E3" w:rsidRPr="001241E3" w:rsidRDefault="001241E3" w:rsidP="001241E3">
          <w:pPr>
            <w:rPr>
              <w:lang w:eastAsia="es-MX"/>
            </w:rPr>
          </w:pPr>
        </w:p>
        <w:p w:rsidR="001241E3" w:rsidRPr="001241E3" w:rsidRDefault="001241E3" w:rsidP="001241E3">
          <w:pPr>
            <w:pStyle w:val="TDC1"/>
            <w:tabs>
              <w:tab w:val="left" w:pos="440"/>
              <w:tab w:val="right" w:leader="dot" w:pos="8830"/>
            </w:tabs>
            <w:jc w:val="both"/>
            <w:rPr>
              <w:rFonts w:ascii="Arial" w:hAnsi="Arial" w:cs="Arial"/>
              <w:noProof/>
              <w:color w:val="auto"/>
              <w:szCs w:val="24"/>
              <w:lang w:val="es-MX" w:eastAsia="es-MX"/>
            </w:rPr>
          </w:pPr>
          <w:r w:rsidRPr="001241E3">
            <w:rPr>
              <w:rFonts w:ascii="Arial" w:hAnsi="Arial" w:cs="Arial"/>
              <w:color w:val="auto"/>
              <w:szCs w:val="24"/>
            </w:rPr>
            <w:fldChar w:fldCharType="begin"/>
          </w:r>
          <w:r w:rsidRPr="001241E3">
            <w:rPr>
              <w:rFonts w:ascii="Arial" w:hAnsi="Arial" w:cs="Arial"/>
              <w:color w:val="auto"/>
              <w:szCs w:val="24"/>
            </w:rPr>
            <w:instrText xml:space="preserve"> TOC \o "1-3" \h \z \u </w:instrText>
          </w:r>
          <w:r w:rsidRPr="001241E3">
            <w:rPr>
              <w:rFonts w:ascii="Arial" w:hAnsi="Arial" w:cs="Arial"/>
              <w:color w:val="auto"/>
              <w:szCs w:val="24"/>
            </w:rPr>
            <w:fldChar w:fldCharType="separate"/>
          </w:r>
          <w:hyperlink w:anchor="_Toc30674840" w:history="1">
            <w:r w:rsidRPr="001241E3">
              <w:rPr>
                <w:rStyle w:val="Hipervnculo"/>
                <w:rFonts w:ascii="Arial" w:hAnsi="Arial" w:cs="Arial"/>
                <w:noProof/>
                <w:color w:val="auto"/>
                <w:szCs w:val="24"/>
              </w:rPr>
              <w:t>1.</w:t>
            </w:r>
            <w:r w:rsidRPr="001241E3">
              <w:rPr>
                <w:rFonts w:ascii="Arial" w:hAnsi="Arial" w:cs="Arial"/>
                <w:noProof/>
                <w:color w:val="auto"/>
                <w:szCs w:val="24"/>
                <w:lang w:val="es-MX" w:eastAsia="es-MX"/>
              </w:rPr>
              <w:tab/>
            </w:r>
            <w:r w:rsidRPr="001241E3">
              <w:rPr>
                <w:rStyle w:val="Hipervnculo"/>
                <w:rFonts w:ascii="Arial" w:hAnsi="Arial" w:cs="Arial"/>
                <w:noProof/>
                <w:color w:val="auto"/>
                <w:szCs w:val="24"/>
              </w:rPr>
              <w:t>TESIS AISLADAS EN MATERIA PENAL</w:t>
            </w:r>
            <w:r w:rsidRPr="001241E3">
              <w:rPr>
                <w:rFonts w:ascii="Arial" w:hAnsi="Arial" w:cs="Arial"/>
                <w:noProof/>
                <w:webHidden/>
                <w:color w:val="auto"/>
                <w:szCs w:val="24"/>
              </w:rPr>
              <w:tab/>
            </w:r>
            <w:r w:rsidRPr="001241E3">
              <w:rPr>
                <w:rFonts w:ascii="Arial" w:hAnsi="Arial" w:cs="Arial"/>
                <w:noProof/>
                <w:webHidden/>
                <w:color w:val="auto"/>
                <w:szCs w:val="24"/>
              </w:rPr>
              <w:fldChar w:fldCharType="begin"/>
            </w:r>
            <w:r w:rsidRPr="001241E3">
              <w:rPr>
                <w:rFonts w:ascii="Arial" w:hAnsi="Arial" w:cs="Arial"/>
                <w:noProof/>
                <w:webHidden/>
                <w:color w:val="auto"/>
                <w:szCs w:val="24"/>
              </w:rPr>
              <w:instrText xml:space="preserve"> PAGEREF _Toc30674840 \h </w:instrText>
            </w:r>
            <w:r w:rsidRPr="001241E3">
              <w:rPr>
                <w:rFonts w:ascii="Arial" w:hAnsi="Arial" w:cs="Arial"/>
                <w:noProof/>
                <w:webHidden/>
                <w:color w:val="auto"/>
                <w:szCs w:val="24"/>
              </w:rPr>
            </w:r>
            <w:r w:rsidRPr="001241E3">
              <w:rPr>
                <w:rFonts w:ascii="Arial" w:hAnsi="Arial" w:cs="Arial"/>
                <w:noProof/>
                <w:webHidden/>
                <w:color w:val="auto"/>
                <w:szCs w:val="24"/>
              </w:rPr>
              <w:fldChar w:fldCharType="separate"/>
            </w:r>
            <w:r w:rsidRPr="001241E3">
              <w:rPr>
                <w:rFonts w:ascii="Arial" w:hAnsi="Arial" w:cs="Arial"/>
                <w:noProof/>
                <w:webHidden/>
                <w:color w:val="auto"/>
                <w:szCs w:val="24"/>
              </w:rPr>
              <w:t>2</w:t>
            </w:r>
            <w:r w:rsidRPr="001241E3">
              <w:rPr>
                <w:rFonts w:ascii="Arial" w:hAnsi="Arial" w:cs="Arial"/>
                <w:noProof/>
                <w:webHidden/>
                <w:color w:val="auto"/>
                <w:szCs w:val="24"/>
              </w:rPr>
              <w:fldChar w:fldCharType="end"/>
            </w:r>
          </w:hyperlink>
        </w:p>
        <w:p w:rsidR="001241E3" w:rsidRPr="001241E3" w:rsidRDefault="001241E3" w:rsidP="001241E3">
          <w:pPr>
            <w:pStyle w:val="TDC2"/>
            <w:tabs>
              <w:tab w:val="left" w:pos="880"/>
              <w:tab w:val="right" w:leader="dot" w:pos="8830"/>
            </w:tabs>
            <w:jc w:val="both"/>
            <w:rPr>
              <w:rFonts w:ascii="Arial" w:eastAsiaTheme="minorEastAsia" w:hAnsi="Arial" w:cs="Arial"/>
              <w:noProof/>
              <w:sz w:val="24"/>
              <w:szCs w:val="24"/>
              <w:lang w:eastAsia="es-MX"/>
            </w:rPr>
          </w:pPr>
          <w:hyperlink w:anchor="_Toc30674841" w:history="1">
            <w:r w:rsidRPr="001241E3">
              <w:rPr>
                <w:rStyle w:val="Hipervnculo"/>
                <w:rFonts w:ascii="Arial" w:hAnsi="Arial" w:cs="Arial"/>
                <w:noProof/>
                <w:color w:val="auto"/>
                <w:sz w:val="24"/>
                <w:szCs w:val="24"/>
              </w:rPr>
              <w:t>1.1</w:t>
            </w:r>
            <w:r w:rsidRPr="001241E3">
              <w:rPr>
                <w:rFonts w:ascii="Arial" w:eastAsiaTheme="minorEastAsia" w:hAnsi="Arial" w:cs="Arial"/>
                <w:noProof/>
                <w:sz w:val="24"/>
                <w:szCs w:val="24"/>
                <w:lang w:eastAsia="es-MX"/>
              </w:rPr>
              <w:tab/>
            </w:r>
            <w:r w:rsidRPr="001241E3">
              <w:rPr>
                <w:rStyle w:val="Hipervnculo"/>
                <w:rFonts w:ascii="Arial" w:hAnsi="Arial" w:cs="Arial"/>
                <w:noProof/>
                <w:color w:val="auto"/>
                <w:sz w:val="24"/>
                <w:szCs w:val="24"/>
              </w:rPr>
              <w:t>SISTEMA PENAL ACUSATORIO. CONTRA LAS DETERMINACIONES Y RESOLUCIONES DICTADAS EN RECURSOS QUE INCIDAN EN EL TEMA DE LA PERSONALIDAD, EMITIDAS DENTRO DE LA AUDIENCIA INICIAL, ES IMPROCEDENTE EL JUICIO DE AMPARO INDIRECTO, AL NO CONSTITUIR ACTOS DE IMPOSIBLE REPARACIÓN.</w:t>
            </w:r>
            <w:r w:rsidRPr="001241E3">
              <w:rPr>
                <w:rFonts w:ascii="Arial" w:hAnsi="Arial" w:cs="Arial"/>
                <w:noProof/>
                <w:webHidden/>
                <w:sz w:val="24"/>
                <w:szCs w:val="24"/>
              </w:rPr>
              <w:tab/>
            </w:r>
            <w:r w:rsidRPr="001241E3">
              <w:rPr>
                <w:rFonts w:ascii="Arial" w:hAnsi="Arial" w:cs="Arial"/>
                <w:noProof/>
                <w:webHidden/>
                <w:sz w:val="24"/>
                <w:szCs w:val="24"/>
              </w:rPr>
              <w:fldChar w:fldCharType="begin"/>
            </w:r>
            <w:r w:rsidRPr="001241E3">
              <w:rPr>
                <w:rFonts w:ascii="Arial" w:hAnsi="Arial" w:cs="Arial"/>
                <w:noProof/>
                <w:webHidden/>
                <w:sz w:val="24"/>
                <w:szCs w:val="24"/>
              </w:rPr>
              <w:instrText xml:space="preserve"> PAGEREF _Toc30674841 \h </w:instrText>
            </w:r>
            <w:r w:rsidRPr="001241E3">
              <w:rPr>
                <w:rFonts w:ascii="Arial" w:hAnsi="Arial" w:cs="Arial"/>
                <w:noProof/>
                <w:webHidden/>
                <w:sz w:val="24"/>
                <w:szCs w:val="24"/>
              </w:rPr>
            </w:r>
            <w:r w:rsidRPr="001241E3">
              <w:rPr>
                <w:rFonts w:ascii="Arial" w:hAnsi="Arial" w:cs="Arial"/>
                <w:noProof/>
                <w:webHidden/>
                <w:sz w:val="24"/>
                <w:szCs w:val="24"/>
              </w:rPr>
              <w:fldChar w:fldCharType="separate"/>
            </w:r>
            <w:r w:rsidRPr="001241E3">
              <w:rPr>
                <w:rFonts w:ascii="Arial" w:hAnsi="Arial" w:cs="Arial"/>
                <w:noProof/>
                <w:webHidden/>
                <w:sz w:val="24"/>
                <w:szCs w:val="24"/>
              </w:rPr>
              <w:t>2</w:t>
            </w:r>
            <w:r w:rsidRPr="001241E3">
              <w:rPr>
                <w:rFonts w:ascii="Arial" w:hAnsi="Arial" w:cs="Arial"/>
                <w:noProof/>
                <w:webHidden/>
                <w:sz w:val="24"/>
                <w:szCs w:val="24"/>
              </w:rPr>
              <w:fldChar w:fldCharType="end"/>
            </w:r>
          </w:hyperlink>
        </w:p>
        <w:p w:rsidR="001241E3" w:rsidRPr="001241E3" w:rsidRDefault="001241E3" w:rsidP="001241E3">
          <w:pPr>
            <w:pStyle w:val="TDC2"/>
            <w:tabs>
              <w:tab w:val="left" w:pos="880"/>
              <w:tab w:val="right" w:leader="dot" w:pos="8830"/>
            </w:tabs>
            <w:jc w:val="both"/>
            <w:rPr>
              <w:rFonts w:ascii="Arial" w:eastAsiaTheme="minorEastAsia" w:hAnsi="Arial" w:cs="Arial"/>
              <w:noProof/>
              <w:sz w:val="24"/>
              <w:szCs w:val="24"/>
              <w:lang w:eastAsia="es-MX"/>
            </w:rPr>
          </w:pPr>
          <w:hyperlink w:anchor="_Toc30674842" w:history="1">
            <w:r w:rsidRPr="001241E3">
              <w:rPr>
                <w:rStyle w:val="Hipervnculo"/>
                <w:rFonts w:ascii="Arial" w:hAnsi="Arial" w:cs="Arial"/>
                <w:noProof/>
                <w:color w:val="auto"/>
                <w:sz w:val="24"/>
                <w:szCs w:val="24"/>
              </w:rPr>
              <w:t>1.2</w:t>
            </w:r>
            <w:r w:rsidRPr="001241E3">
              <w:rPr>
                <w:rFonts w:ascii="Arial" w:eastAsiaTheme="minorEastAsia" w:hAnsi="Arial" w:cs="Arial"/>
                <w:noProof/>
                <w:sz w:val="24"/>
                <w:szCs w:val="24"/>
                <w:lang w:eastAsia="es-MX"/>
              </w:rPr>
              <w:tab/>
            </w:r>
            <w:r w:rsidRPr="001241E3">
              <w:rPr>
                <w:rStyle w:val="Hipervnculo"/>
                <w:rFonts w:ascii="Arial" w:hAnsi="Arial" w:cs="Arial"/>
                <w:noProof/>
                <w:color w:val="auto"/>
                <w:sz w:val="24"/>
                <w:szCs w:val="24"/>
              </w:rPr>
              <w:t>SEPARACIÓN DE PROCESOS PREVISTA EN EL ARTÍCULO 35 DEL CÓDIGO NACIONAL DE PROCEDIMIENTOS PENALES. DEBE SOLICITARSE ANTES DEL AUTO DE APERTURA A JUICIO, Y DECRETARSE HASTA ANTES DE LA AUDIENCIA DE JUICIO.</w:t>
            </w:r>
            <w:r w:rsidRPr="001241E3">
              <w:rPr>
                <w:rFonts w:ascii="Arial" w:hAnsi="Arial" w:cs="Arial"/>
                <w:noProof/>
                <w:webHidden/>
                <w:sz w:val="24"/>
                <w:szCs w:val="24"/>
              </w:rPr>
              <w:tab/>
            </w:r>
            <w:r w:rsidRPr="001241E3">
              <w:rPr>
                <w:rFonts w:ascii="Arial" w:hAnsi="Arial" w:cs="Arial"/>
                <w:noProof/>
                <w:webHidden/>
                <w:sz w:val="24"/>
                <w:szCs w:val="24"/>
              </w:rPr>
              <w:fldChar w:fldCharType="begin"/>
            </w:r>
            <w:r w:rsidRPr="001241E3">
              <w:rPr>
                <w:rFonts w:ascii="Arial" w:hAnsi="Arial" w:cs="Arial"/>
                <w:noProof/>
                <w:webHidden/>
                <w:sz w:val="24"/>
                <w:szCs w:val="24"/>
              </w:rPr>
              <w:instrText xml:space="preserve"> PAGEREF _Toc30674842 \h </w:instrText>
            </w:r>
            <w:r w:rsidRPr="001241E3">
              <w:rPr>
                <w:rFonts w:ascii="Arial" w:hAnsi="Arial" w:cs="Arial"/>
                <w:noProof/>
                <w:webHidden/>
                <w:sz w:val="24"/>
                <w:szCs w:val="24"/>
              </w:rPr>
            </w:r>
            <w:r w:rsidRPr="001241E3">
              <w:rPr>
                <w:rFonts w:ascii="Arial" w:hAnsi="Arial" w:cs="Arial"/>
                <w:noProof/>
                <w:webHidden/>
                <w:sz w:val="24"/>
                <w:szCs w:val="24"/>
              </w:rPr>
              <w:fldChar w:fldCharType="separate"/>
            </w:r>
            <w:r w:rsidRPr="001241E3">
              <w:rPr>
                <w:rFonts w:ascii="Arial" w:hAnsi="Arial" w:cs="Arial"/>
                <w:noProof/>
                <w:webHidden/>
                <w:sz w:val="24"/>
                <w:szCs w:val="24"/>
              </w:rPr>
              <w:t>3</w:t>
            </w:r>
            <w:r w:rsidRPr="001241E3">
              <w:rPr>
                <w:rFonts w:ascii="Arial" w:hAnsi="Arial" w:cs="Arial"/>
                <w:noProof/>
                <w:webHidden/>
                <w:sz w:val="24"/>
                <w:szCs w:val="24"/>
              </w:rPr>
              <w:fldChar w:fldCharType="end"/>
            </w:r>
          </w:hyperlink>
        </w:p>
        <w:p w:rsidR="001241E3" w:rsidRPr="001241E3" w:rsidRDefault="001241E3" w:rsidP="001241E3">
          <w:pPr>
            <w:pStyle w:val="TDC2"/>
            <w:tabs>
              <w:tab w:val="left" w:pos="880"/>
              <w:tab w:val="right" w:leader="dot" w:pos="8830"/>
            </w:tabs>
            <w:jc w:val="both"/>
            <w:rPr>
              <w:rFonts w:ascii="Arial" w:eastAsiaTheme="minorEastAsia" w:hAnsi="Arial" w:cs="Arial"/>
              <w:noProof/>
              <w:sz w:val="24"/>
              <w:szCs w:val="24"/>
              <w:lang w:eastAsia="es-MX"/>
            </w:rPr>
          </w:pPr>
          <w:hyperlink w:anchor="_Toc30674843" w:history="1">
            <w:r w:rsidRPr="001241E3">
              <w:rPr>
                <w:rStyle w:val="Hipervnculo"/>
                <w:rFonts w:ascii="Arial" w:hAnsi="Arial" w:cs="Arial"/>
                <w:noProof/>
                <w:color w:val="auto"/>
                <w:sz w:val="24"/>
                <w:szCs w:val="24"/>
              </w:rPr>
              <w:t>1.3</w:t>
            </w:r>
            <w:r w:rsidRPr="001241E3">
              <w:rPr>
                <w:rFonts w:ascii="Arial" w:eastAsiaTheme="minorEastAsia" w:hAnsi="Arial" w:cs="Arial"/>
                <w:noProof/>
                <w:sz w:val="24"/>
                <w:szCs w:val="24"/>
                <w:lang w:eastAsia="es-MX"/>
              </w:rPr>
              <w:tab/>
            </w:r>
            <w:r w:rsidRPr="001241E3">
              <w:rPr>
                <w:rStyle w:val="Hipervnculo"/>
                <w:rFonts w:ascii="Arial" w:hAnsi="Arial" w:cs="Arial"/>
                <w:noProof/>
                <w:color w:val="auto"/>
                <w:sz w:val="24"/>
                <w:szCs w:val="24"/>
              </w:rPr>
              <w:t>RESOLUCIÓN EMITIDA POR EL JUEZ DE CONTROL EN EL RECURSO INNOMINADO PREVISTO EN EL ARTÍCULO 258 DEL CÓDIGO NACIONAL DE PROCEDIMIENTOS PENALES. EN SU CONTRA ES INNECESARIO AGOTAR MEDIO DE DEFENSA ALGUNO, PREVIO A PROMOVER EL JUICIO DE AMPARO INDIRECTO.</w:t>
            </w:r>
            <w:r w:rsidRPr="001241E3">
              <w:rPr>
                <w:rFonts w:ascii="Arial" w:hAnsi="Arial" w:cs="Arial"/>
                <w:noProof/>
                <w:webHidden/>
                <w:sz w:val="24"/>
                <w:szCs w:val="24"/>
              </w:rPr>
              <w:tab/>
            </w:r>
            <w:r w:rsidRPr="001241E3">
              <w:rPr>
                <w:rFonts w:ascii="Arial" w:hAnsi="Arial" w:cs="Arial"/>
                <w:noProof/>
                <w:webHidden/>
                <w:sz w:val="24"/>
                <w:szCs w:val="24"/>
              </w:rPr>
              <w:fldChar w:fldCharType="begin"/>
            </w:r>
            <w:r w:rsidRPr="001241E3">
              <w:rPr>
                <w:rFonts w:ascii="Arial" w:hAnsi="Arial" w:cs="Arial"/>
                <w:noProof/>
                <w:webHidden/>
                <w:sz w:val="24"/>
                <w:szCs w:val="24"/>
              </w:rPr>
              <w:instrText xml:space="preserve"> PAGEREF _Toc30674843 \h </w:instrText>
            </w:r>
            <w:r w:rsidRPr="001241E3">
              <w:rPr>
                <w:rFonts w:ascii="Arial" w:hAnsi="Arial" w:cs="Arial"/>
                <w:noProof/>
                <w:webHidden/>
                <w:sz w:val="24"/>
                <w:szCs w:val="24"/>
              </w:rPr>
            </w:r>
            <w:r w:rsidRPr="001241E3">
              <w:rPr>
                <w:rFonts w:ascii="Arial" w:hAnsi="Arial" w:cs="Arial"/>
                <w:noProof/>
                <w:webHidden/>
                <w:sz w:val="24"/>
                <w:szCs w:val="24"/>
              </w:rPr>
              <w:fldChar w:fldCharType="separate"/>
            </w:r>
            <w:r w:rsidRPr="001241E3">
              <w:rPr>
                <w:rFonts w:ascii="Arial" w:hAnsi="Arial" w:cs="Arial"/>
                <w:noProof/>
                <w:webHidden/>
                <w:sz w:val="24"/>
                <w:szCs w:val="24"/>
              </w:rPr>
              <w:t>4</w:t>
            </w:r>
            <w:r w:rsidRPr="001241E3">
              <w:rPr>
                <w:rFonts w:ascii="Arial" w:hAnsi="Arial" w:cs="Arial"/>
                <w:noProof/>
                <w:webHidden/>
                <w:sz w:val="24"/>
                <w:szCs w:val="24"/>
              </w:rPr>
              <w:fldChar w:fldCharType="end"/>
            </w:r>
          </w:hyperlink>
        </w:p>
        <w:p w:rsidR="001241E3" w:rsidRPr="001241E3" w:rsidRDefault="001241E3" w:rsidP="001241E3">
          <w:pPr>
            <w:pStyle w:val="TDC2"/>
            <w:tabs>
              <w:tab w:val="left" w:pos="880"/>
              <w:tab w:val="right" w:leader="dot" w:pos="8830"/>
            </w:tabs>
            <w:jc w:val="both"/>
            <w:rPr>
              <w:rFonts w:ascii="Arial" w:eastAsiaTheme="minorEastAsia" w:hAnsi="Arial" w:cs="Arial"/>
              <w:noProof/>
              <w:sz w:val="24"/>
              <w:szCs w:val="24"/>
              <w:lang w:eastAsia="es-MX"/>
            </w:rPr>
          </w:pPr>
          <w:hyperlink w:anchor="_Toc30674844" w:history="1">
            <w:r w:rsidRPr="001241E3">
              <w:rPr>
                <w:rStyle w:val="Hipervnculo"/>
                <w:rFonts w:ascii="Arial" w:hAnsi="Arial" w:cs="Arial"/>
                <w:noProof/>
                <w:color w:val="auto"/>
                <w:sz w:val="24"/>
                <w:szCs w:val="24"/>
              </w:rPr>
              <w:t>1.4</w:t>
            </w:r>
            <w:r w:rsidRPr="001241E3">
              <w:rPr>
                <w:rFonts w:ascii="Arial" w:eastAsiaTheme="minorEastAsia" w:hAnsi="Arial" w:cs="Arial"/>
                <w:noProof/>
                <w:sz w:val="24"/>
                <w:szCs w:val="24"/>
                <w:lang w:eastAsia="es-MX"/>
              </w:rPr>
              <w:tab/>
            </w:r>
            <w:r w:rsidRPr="001241E3">
              <w:rPr>
                <w:rStyle w:val="Hipervnculo"/>
                <w:rFonts w:ascii="Arial" w:hAnsi="Arial" w:cs="Arial"/>
                <w:noProof/>
                <w:color w:val="auto"/>
                <w:sz w:val="24"/>
                <w:szCs w:val="24"/>
              </w:rPr>
              <w:t>AMPLIACIÓN DEL TÉRMINO CONSTITUCIONAL. LA INADMISIÓN DE DATOS DE PRUEBA AL MINISTERIO PÚBLICO DENTRO DE DICHO PLAZO NO VULNERA LOS PRINCIPIOS DE IGUALDAD PROCESAL NI DE CONTRADICCIÓN, PUES SU PRÓRROGA SE TRADUCE EN UN DERECHO EN FAVOR DE LA DEFENSA Y EL IMPUTADO QUE NO PUEDE OPERAR EN PERJUICIO DE ÉSTOS.</w:t>
            </w:r>
            <w:r w:rsidRPr="001241E3">
              <w:rPr>
                <w:rFonts w:ascii="Arial" w:hAnsi="Arial" w:cs="Arial"/>
                <w:noProof/>
                <w:webHidden/>
                <w:sz w:val="24"/>
                <w:szCs w:val="24"/>
              </w:rPr>
              <w:tab/>
            </w:r>
            <w:r w:rsidRPr="001241E3">
              <w:rPr>
                <w:rFonts w:ascii="Arial" w:hAnsi="Arial" w:cs="Arial"/>
                <w:noProof/>
                <w:webHidden/>
                <w:sz w:val="24"/>
                <w:szCs w:val="24"/>
              </w:rPr>
              <w:fldChar w:fldCharType="begin"/>
            </w:r>
            <w:r w:rsidRPr="001241E3">
              <w:rPr>
                <w:rFonts w:ascii="Arial" w:hAnsi="Arial" w:cs="Arial"/>
                <w:noProof/>
                <w:webHidden/>
                <w:sz w:val="24"/>
                <w:szCs w:val="24"/>
              </w:rPr>
              <w:instrText xml:space="preserve"> PAGEREF _Toc30674844 \h </w:instrText>
            </w:r>
            <w:r w:rsidRPr="001241E3">
              <w:rPr>
                <w:rFonts w:ascii="Arial" w:hAnsi="Arial" w:cs="Arial"/>
                <w:noProof/>
                <w:webHidden/>
                <w:sz w:val="24"/>
                <w:szCs w:val="24"/>
              </w:rPr>
            </w:r>
            <w:r w:rsidRPr="001241E3">
              <w:rPr>
                <w:rFonts w:ascii="Arial" w:hAnsi="Arial" w:cs="Arial"/>
                <w:noProof/>
                <w:webHidden/>
                <w:sz w:val="24"/>
                <w:szCs w:val="24"/>
              </w:rPr>
              <w:fldChar w:fldCharType="separate"/>
            </w:r>
            <w:r w:rsidRPr="001241E3">
              <w:rPr>
                <w:rFonts w:ascii="Arial" w:hAnsi="Arial" w:cs="Arial"/>
                <w:noProof/>
                <w:webHidden/>
                <w:sz w:val="24"/>
                <w:szCs w:val="24"/>
              </w:rPr>
              <w:t>5</w:t>
            </w:r>
            <w:r w:rsidRPr="001241E3">
              <w:rPr>
                <w:rFonts w:ascii="Arial" w:hAnsi="Arial" w:cs="Arial"/>
                <w:noProof/>
                <w:webHidden/>
                <w:sz w:val="24"/>
                <w:szCs w:val="24"/>
              </w:rPr>
              <w:fldChar w:fldCharType="end"/>
            </w:r>
          </w:hyperlink>
        </w:p>
        <w:p w:rsidR="001241E3" w:rsidRPr="001241E3" w:rsidRDefault="001241E3" w:rsidP="001241E3">
          <w:pPr>
            <w:pStyle w:val="TDC1"/>
            <w:tabs>
              <w:tab w:val="left" w:pos="440"/>
              <w:tab w:val="right" w:leader="dot" w:pos="8830"/>
            </w:tabs>
            <w:jc w:val="both"/>
            <w:rPr>
              <w:rFonts w:ascii="Arial" w:hAnsi="Arial" w:cs="Arial"/>
              <w:noProof/>
              <w:color w:val="auto"/>
              <w:szCs w:val="24"/>
              <w:lang w:val="es-MX" w:eastAsia="es-MX"/>
            </w:rPr>
          </w:pPr>
          <w:hyperlink w:anchor="_Toc30674845" w:history="1">
            <w:r w:rsidRPr="001241E3">
              <w:rPr>
                <w:rStyle w:val="Hipervnculo"/>
                <w:rFonts w:ascii="Arial" w:hAnsi="Arial" w:cs="Arial"/>
                <w:noProof/>
                <w:color w:val="auto"/>
                <w:szCs w:val="24"/>
              </w:rPr>
              <w:t>2.</w:t>
            </w:r>
            <w:r w:rsidRPr="001241E3">
              <w:rPr>
                <w:rFonts w:ascii="Arial" w:hAnsi="Arial" w:cs="Arial"/>
                <w:noProof/>
                <w:color w:val="auto"/>
                <w:szCs w:val="24"/>
                <w:lang w:val="es-MX" w:eastAsia="es-MX"/>
              </w:rPr>
              <w:tab/>
            </w:r>
            <w:r w:rsidRPr="001241E3">
              <w:rPr>
                <w:rStyle w:val="Hipervnculo"/>
                <w:rFonts w:ascii="Arial" w:hAnsi="Arial" w:cs="Arial"/>
                <w:noProof/>
                <w:color w:val="auto"/>
                <w:szCs w:val="24"/>
              </w:rPr>
              <w:t>FUENTES CONSULTADAS</w:t>
            </w:r>
            <w:r w:rsidRPr="001241E3">
              <w:rPr>
                <w:rFonts w:ascii="Arial" w:hAnsi="Arial" w:cs="Arial"/>
                <w:noProof/>
                <w:webHidden/>
                <w:color w:val="auto"/>
                <w:szCs w:val="24"/>
              </w:rPr>
              <w:tab/>
            </w:r>
            <w:r w:rsidRPr="001241E3">
              <w:rPr>
                <w:rFonts w:ascii="Arial" w:hAnsi="Arial" w:cs="Arial"/>
                <w:noProof/>
                <w:webHidden/>
                <w:color w:val="auto"/>
                <w:szCs w:val="24"/>
              </w:rPr>
              <w:fldChar w:fldCharType="begin"/>
            </w:r>
            <w:r w:rsidRPr="001241E3">
              <w:rPr>
                <w:rFonts w:ascii="Arial" w:hAnsi="Arial" w:cs="Arial"/>
                <w:noProof/>
                <w:webHidden/>
                <w:color w:val="auto"/>
                <w:szCs w:val="24"/>
              </w:rPr>
              <w:instrText xml:space="preserve"> PAGEREF _Toc30674845 \h </w:instrText>
            </w:r>
            <w:r w:rsidRPr="001241E3">
              <w:rPr>
                <w:rFonts w:ascii="Arial" w:hAnsi="Arial" w:cs="Arial"/>
                <w:noProof/>
                <w:webHidden/>
                <w:color w:val="auto"/>
                <w:szCs w:val="24"/>
              </w:rPr>
            </w:r>
            <w:r w:rsidRPr="001241E3">
              <w:rPr>
                <w:rFonts w:ascii="Arial" w:hAnsi="Arial" w:cs="Arial"/>
                <w:noProof/>
                <w:webHidden/>
                <w:color w:val="auto"/>
                <w:szCs w:val="24"/>
              </w:rPr>
              <w:fldChar w:fldCharType="separate"/>
            </w:r>
            <w:r w:rsidRPr="001241E3">
              <w:rPr>
                <w:rFonts w:ascii="Arial" w:hAnsi="Arial" w:cs="Arial"/>
                <w:noProof/>
                <w:webHidden/>
                <w:color w:val="auto"/>
                <w:szCs w:val="24"/>
              </w:rPr>
              <w:t>7</w:t>
            </w:r>
            <w:r w:rsidRPr="001241E3">
              <w:rPr>
                <w:rFonts w:ascii="Arial" w:hAnsi="Arial" w:cs="Arial"/>
                <w:noProof/>
                <w:webHidden/>
                <w:color w:val="auto"/>
                <w:szCs w:val="24"/>
              </w:rPr>
              <w:fldChar w:fldCharType="end"/>
            </w:r>
          </w:hyperlink>
        </w:p>
        <w:p w:rsidR="001241E3" w:rsidRPr="001241E3" w:rsidRDefault="001241E3" w:rsidP="001241E3">
          <w:pPr>
            <w:pStyle w:val="TDC2"/>
            <w:tabs>
              <w:tab w:val="left" w:pos="880"/>
              <w:tab w:val="right" w:leader="dot" w:pos="8830"/>
            </w:tabs>
            <w:jc w:val="both"/>
            <w:rPr>
              <w:rFonts w:ascii="Arial" w:eastAsiaTheme="minorEastAsia" w:hAnsi="Arial" w:cs="Arial"/>
              <w:noProof/>
              <w:sz w:val="24"/>
              <w:szCs w:val="24"/>
              <w:lang w:eastAsia="es-MX"/>
            </w:rPr>
          </w:pPr>
          <w:hyperlink w:anchor="_Toc30674846" w:history="1">
            <w:r w:rsidRPr="001241E3">
              <w:rPr>
                <w:rStyle w:val="Hipervnculo"/>
                <w:rFonts w:ascii="Arial" w:hAnsi="Arial" w:cs="Arial"/>
                <w:noProof/>
                <w:color w:val="auto"/>
                <w:sz w:val="24"/>
                <w:szCs w:val="24"/>
              </w:rPr>
              <w:t>2.1</w:t>
            </w:r>
            <w:r w:rsidRPr="001241E3">
              <w:rPr>
                <w:rFonts w:ascii="Arial" w:eastAsiaTheme="minorEastAsia" w:hAnsi="Arial" w:cs="Arial"/>
                <w:noProof/>
                <w:sz w:val="24"/>
                <w:szCs w:val="24"/>
                <w:lang w:eastAsia="es-MX"/>
              </w:rPr>
              <w:tab/>
            </w:r>
            <w:r w:rsidRPr="001241E3">
              <w:rPr>
                <w:rStyle w:val="Hipervnculo"/>
                <w:rFonts w:ascii="Arial" w:hAnsi="Arial" w:cs="Arial"/>
                <w:noProof/>
                <w:color w:val="auto"/>
                <w:sz w:val="24"/>
                <w:szCs w:val="24"/>
              </w:rPr>
              <w:t>CIBEROGRÁFICA:</w:t>
            </w:r>
            <w:r w:rsidRPr="001241E3">
              <w:rPr>
                <w:rFonts w:ascii="Arial" w:hAnsi="Arial" w:cs="Arial"/>
                <w:noProof/>
                <w:webHidden/>
                <w:sz w:val="24"/>
                <w:szCs w:val="24"/>
              </w:rPr>
              <w:tab/>
            </w:r>
            <w:r w:rsidRPr="001241E3">
              <w:rPr>
                <w:rFonts w:ascii="Arial" w:hAnsi="Arial" w:cs="Arial"/>
                <w:noProof/>
                <w:webHidden/>
                <w:sz w:val="24"/>
                <w:szCs w:val="24"/>
              </w:rPr>
              <w:fldChar w:fldCharType="begin"/>
            </w:r>
            <w:r w:rsidRPr="001241E3">
              <w:rPr>
                <w:rFonts w:ascii="Arial" w:hAnsi="Arial" w:cs="Arial"/>
                <w:noProof/>
                <w:webHidden/>
                <w:sz w:val="24"/>
                <w:szCs w:val="24"/>
              </w:rPr>
              <w:instrText xml:space="preserve"> PAGEREF _Toc30674846 \h </w:instrText>
            </w:r>
            <w:r w:rsidRPr="001241E3">
              <w:rPr>
                <w:rFonts w:ascii="Arial" w:hAnsi="Arial" w:cs="Arial"/>
                <w:noProof/>
                <w:webHidden/>
                <w:sz w:val="24"/>
                <w:szCs w:val="24"/>
              </w:rPr>
            </w:r>
            <w:r w:rsidRPr="001241E3">
              <w:rPr>
                <w:rFonts w:ascii="Arial" w:hAnsi="Arial" w:cs="Arial"/>
                <w:noProof/>
                <w:webHidden/>
                <w:sz w:val="24"/>
                <w:szCs w:val="24"/>
              </w:rPr>
              <w:fldChar w:fldCharType="separate"/>
            </w:r>
            <w:r w:rsidRPr="001241E3">
              <w:rPr>
                <w:rFonts w:ascii="Arial" w:hAnsi="Arial" w:cs="Arial"/>
                <w:noProof/>
                <w:webHidden/>
                <w:sz w:val="24"/>
                <w:szCs w:val="24"/>
              </w:rPr>
              <w:t>7</w:t>
            </w:r>
            <w:r w:rsidRPr="001241E3">
              <w:rPr>
                <w:rFonts w:ascii="Arial" w:hAnsi="Arial" w:cs="Arial"/>
                <w:noProof/>
                <w:webHidden/>
                <w:sz w:val="24"/>
                <w:szCs w:val="24"/>
              </w:rPr>
              <w:fldChar w:fldCharType="end"/>
            </w:r>
          </w:hyperlink>
        </w:p>
        <w:p w:rsidR="001241E3" w:rsidRPr="001241E3" w:rsidRDefault="001241E3" w:rsidP="001241E3">
          <w:pPr>
            <w:pStyle w:val="TDC3"/>
            <w:tabs>
              <w:tab w:val="left" w:pos="1320"/>
              <w:tab w:val="right" w:leader="dot" w:pos="8830"/>
            </w:tabs>
            <w:jc w:val="both"/>
            <w:rPr>
              <w:rFonts w:ascii="Arial" w:eastAsiaTheme="minorEastAsia" w:hAnsi="Arial" w:cs="Arial"/>
              <w:noProof/>
              <w:sz w:val="24"/>
              <w:szCs w:val="24"/>
              <w:lang w:eastAsia="es-MX"/>
            </w:rPr>
          </w:pPr>
          <w:hyperlink w:anchor="_Toc30674847" w:history="1">
            <w:r w:rsidRPr="001241E3">
              <w:rPr>
                <w:rStyle w:val="Hipervnculo"/>
                <w:rFonts w:ascii="Arial" w:hAnsi="Arial" w:cs="Arial"/>
                <w:noProof/>
                <w:color w:val="auto"/>
                <w:sz w:val="24"/>
                <w:szCs w:val="24"/>
              </w:rPr>
              <w:t>2.1.1</w:t>
            </w:r>
            <w:r w:rsidRPr="001241E3">
              <w:rPr>
                <w:rFonts w:ascii="Arial" w:eastAsiaTheme="minorEastAsia" w:hAnsi="Arial" w:cs="Arial"/>
                <w:noProof/>
                <w:sz w:val="24"/>
                <w:szCs w:val="24"/>
                <w:lang w:eastAsia="es-MX"/>
              </w:rPr>
              <w:tab/>
            </w:r>
            <w:r w:rsidRPr="001241E3">
              <w:rPr>
                <w:rStyle w:val="Hipervnculo"/>
                <w:rFonts w:ascii="Arial" w:hAnsi="Arial" w:cs="Arial"/>
                <w:noProof/>
                <w:color w:val="auto"/>
                <w:sz w:val="24"/>
                <w:szCs w:val="24"/>
              </w:rPr>
              <w:t>SEMANARIO JUDICIAL DE LA FEDERACIÓN</w:t>
            </w:r>
            <w:r w:rsidRPr="001241E3">
              <w:rPr>
                <w:rFonts w:ascii="Arial" w:hAnsi="Arial" w:cs="Arial"/>
                <w:noProof/>
                <w:webHidden/>
                <w:sz w:val="24"/>
                <w:szCs w:val="24"/>
              </w:rPr>
              <w:tab/>
            </w:r>
            <w:r w:rsidRPr="001241E3">
              <w:rPr>
                <w:rFonts w:ascii="Arial" w:hAnsi="Arial" w:cs="Arial"/>
                <w:noProof/>
                <w:webHidden/>
                <w:sz w:val="24"/>
                <w:szCs w:val="24"/>
              </w:rPr>
              <w:fldChar w:fldCharType="begin"/>
            </w:r>
            <w:r w:rsidRPr="001241E3">
              <w:rPr>
                <w:rFonts w:ascii="Arial" w:hAnsi="Arial" w:cs="Arial"/>
                <w:noProof/>
                <w:webHidden/>
                <w:sz w:val="24"/>
                <w:szCs w:val="24"/>
              </w:rPr>
              <w:instrText xml:space="preserve"> PAGEREF _Toc30674847 \h </w:instrText>
            </w:r>
            <w:r w:rsidRPr="001241E3">
              <w:rPr>
                <w:rFonts w:ascii="Arial" w:hAnsi="Arial" w:cs="Arial"/>
                <w:noProof/>
                <w:webHidden/>
                <w:sz w:val="24"/>
                <w:szCs w:val="24"/>
              </w:rPr>
            </w:r>
            <w:r w:rsidRPr="001241E3">
              <w:rPr>
                <w:rFonts w:ascii="Arial" w:hAnsi="Arial" w:cs="Arial"/>
                <w:noProof/>
                <w:webHidden/>
                <w:sz w:val="24"/>
                <w:szCs w:val="24"/>
              </w:rPr>
              <w:fldChar w:fldCharType="separate"/>
            </w:r>
            <w:r w:rsidRPr="001241E3">
              <w:rPr>
                <w:rFonts w:ascii="Arial" w:hAnsi="Arial" w:cs="Arial"/>
                <w:noProof/>
                <w:webHidden/>
                <w:sz w:val="24"/>
                <w:szCs w:val="24"/>
              </w:rPr>
              <w:t>7</w:t>
            </w:r>
            <w:r w:rsidRPr="001241E3">
              <w:rPr>
                <w:rFonts w:ascii="Arial" w:hAnsi="Arial" w:cs="Arial"/>
                <w:noProof/>
                <w:webHidden/>
                <w:sz w:val="24"/>
                <w:szCs w:val="24"/>
              </w:rPr>
              <w:fldChar w:fldCharType="end"/>
            </w:r>
          </w:hyperlink>
        </w:p>
        <w:p w:rsidR="001241E3" w:rsidRDefault="001241E3" w:rsidP="001241E3">
          <w:pPr>
            <w:jc w:val="both"/>
          </w:pPr>
          <w:r w:rsidRPr="001241E3">
            <w:rPr>
              <w:rFonts w:ascii="Arial" w:hAnsi="Arial" w:cs="Arial"/>
              <w:b/>
              <w:bCs/>
              <w:color w:val="auto"/>
              <w:szCs w:val="24"/>
            </w:rPr>
            <w:fldChar w:fldCharType="end"/>
          </w:r>
        </w:p>
      </w:sdtContent>
    </w:sdt>
    <w:p w:rsidR="001241E3" w:rsidRDefault="001241E3">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F94B12" w:rsidRPr="001241E3" w:rsidRDefault="00F94B12" w:rsidP="001241E3">
      <w:pPr>
        <w:pStyle w:val="Ttulo1"/>
        <w:numPr>
          <w:ilvl w:val="0"/>
          <w:numId w:val="7"/>
        </w:numPr>
        <w:jc w:val="center"/>
        <w:rPr>
          <w:rFonts w:ascii="Arial" w:hAnsi="Arial" w:cs="Arial"/>
          <w:color w:val="B35E06" w:themeColor="accent1" w:themeShade="BF"/>
          <w:sz w:val="36"/>
          <w:szCs w:val="36"/>
        </w:rPr>
      </w:pPr>
      <w:bookmarkStart w:id="0" w:name="_Toc30674840"/>
      <w:r w:rsidRPr="001241E3">
        <w:rPr>
          <w:rFonts w:ascii="Arial" w:hAnsi="Arial" w:cs="Arial"/>
          <w:color w:val="B35E06" w:themeColor="accent1" w:themeShade="BF"/>
          <w:sz w:val="36"/>
          <w:szCs w:val="36"/>
        </w:rPr>
        <w:lastRenderedPageBreak/>
        <w:t>TESIS AISLADAS EN MATERIA PENAL</w:t>
      </w:r>
      <w:bookmarkEnd w:id="0"/>
    </w:p>
    <w:p w:rsidR="00F94B12" w:rsidRDefault="00F94B12" w:rsidP="004A239C">
      <w:pPr>
        <w:spacing w:after="0" w:line="240" w:lineRule="auto"/>
        <w:jc w:val="both"/>
        <w:rPr>
          <w:rFonts w:ascii="Arial" w:hAnsi="Arial" w:cs="Arial"/>
        </w:rPr>
      </w:pPr>
    </w:p>
    <w:p w:rsidR="003C17B6" w:rsidRPr="004A239C" w:rsidRDefault="001241E3" w:rsidP="004A239C">
      <w:pPr>
        <w:spacing w:after="0" w:line="240" w:lineRule="auto"/>
        <w:jc w:val="both"/>
        <w:rPr>
          <w:rFonts w:ascii="Arial" w:hAnsi="Arial" w:cs="Arial"/>
        </w:rPr>
      </w:pPr>
      <w:r>
        <w:rPr>
          <w:rFonts w:ascii="Arial" w:hAnsi="Arial" w:cs="Arial"/>
        </w:rPr>
        <w:t xml:space="preserve">1. </w:t>
      </w:r>
      <w:r w:rsidR="003C17B6" w:rsidRPr="004A239C">
        <w:rPr>
          <w:rFonts w:ascii="Arial" w:hAnsi="Arial" w:cs="Arial"/>
        </w:rPr>
        <w:t xml:space="preserve">Época: Décima Época </w:t>
      </w:r>
    </w:p>
    <w:p w:rsidR="003C17B6" w:rsidRPr="004A239C" w:rsidRDefault="003C17B6" w:rsidP="004A239C">
      <w:pPr>
        <w:spacing w:after="0" w:line="240" w:lineRule="auto"/>
        <w:jc w:val="both"/>
        <w:rPr>
          <w:rFonts w:ascii="Arial" w:hAnsi="Arial" w:cs="Arial"/>
        </w:rPr>
      </w:pPr>
      <w:r w:rsidRPr="004A239C">
        <w:rPr>
          <w:rFonts w:ascii="Arial" w:hAnsi="Arial" w:cs="Arial"/>
        </w:rPr>
        <w:t xml:space="preserve">Registro: 2021441 </w:t>
      </w:r>
    </w:p>
    <w:p w:rsidR="003C17B6" w:rsidRPr="004A239C" w:rsidRDefault="003C17B6" w:rsidP="004A239C">
      <w:pPr>
        <w:spacing w:after="0" w:line="240" w:lineRule="auto"/>
        <w:jc w:val="both"/>
        <w:rPr>
          <w:rFonts w:ascii="Arial" w:hAnsi="Arial" w:cs="Arial"/>
        </w:rPr>
      </w:pPr>
      <w:r w:rsidRPr="004A239C">
        <w:rPr>
          <w:rFonts w:ascii="Arial" w:hAnsi="Arial" w:cs="Arial"/>
        </w:rPr>
        <w:t xml:space="preserve">Instancia: Tribunales Colegiados de Circuito </w:t>
      </w:r>
    </w:p>
    <w:p w:rsidR="003C17B6" w:rsidRPr="004A239C" w:rsidRDefault="003C17B6" w:rsidP="004A239C">
      <w:pPr>
        <w:spacing w:after="0" w:line="240" w:lineRule="auto"/>
        <w:jc w:val="both"/>
        <w:rPr>
          <w:rFonts w:ascii="Arial" w:hAnsi="Arial" w:cs="Arial"/>
        </w:rPr>
      </w:pPr>
      <w:r w:rsidRPr="004A239C">
        <w:rPr>
          <w:rFonts w:ascii="Arial" w:hAnsi="Arial" w:cs="Arial"/>
        </w:rPr>
        <w:t xml:space="preserve">Tipo de Tesis: Aislada </w:t>
      </w:r>
    </w:p>
    <w:p w:rsidR="003C17B6" w:rsidRPr="004A239C" w:rsidRDefault="003C17B6" w:rsidP="004A239C">
      <w:pPr>
        <w:spacing w:after="0" w:line="240" w:lineRule="auto"/>
        <w:jc w:val="both"/>
        <w:rPr>
          <w:rFonts w:ascii="Arial" w:hAnsi="Arial" w:cs="Arial"/>
        </w:rPr>
      </w:pPr>
      <w:r w:rsidRPr="004A239C">
        <w:rPr>
          <w:rFonts w:ascii="Arial" w:hAnsi="Arial" w:cs="Arial"/>
        </w:rPr>
        <w:t xml:space="preserve">Fuente: Semanario Judicial de la Federación </w:t>
      </w:r>
    </w:p>
    <w:p w:rsidR="003C17B6" w:rsidRPr="004A239C" w:rsidRDefault="003C17B6" w:rsidP="004A239C">
      <w:pPr>
        <w:spacing w:after="0" w:line="240" w:lineRule="auto"/>
        <w:jc w:val="both"/>
        <w:rPr>
          <w:rFonts w:ascii="Arial" w:hAnsi="Arial" w:cs="Arial"/>
        </w:rPr>
      </w:pPr>
      <w:r w:rsidRPr="004A239C">
        <w:rPr>
          <w:rFonts w:ascii="Arial" w:hAnsi="Arial" w:cs="Arial"/>
        </w:rPr>
        <w:t xml:space="preserve">Publicación: viernes 17 de enero de 2020 10:18 h </w:t>
      </w:r>
    </w:p>
    <w:p w:rsidR="003C17B6" w:rsidRPr="004A239C" w:rsidRDefault="003C17B6" w:rsidP="004A239C">
      <w:pPr>
        <w:spacing w:after="0" w:line="240" w:lineRule="auto"/>
        <w:jc w:val="both"/>
        <w:rPr>
          <w:rFonts w:ascii="Arial" w:hAnsi="Arial" w:cs="Arial"/>
        </w:rPr>
      </w:pPr>
      <w:r w:rsidRPr="004A239C">
        <w:rPr>
          <w:rFonts w:ascii="Arial" w:hAnsi="Arial" w:cs="Arial"/>
        </w:rPr>
        <w:t xml:space="preserve">Materia(s): (Común, Penal) </w:t>
      </w:r>
    </w:p>
    <w:p w:rsidR="003C17B6" w:rsidRPr="004A239C" w:rsidRDefault="003C17B6" w:rsidP="004A239C">
      <w:pPr>
        <w:spacing w:after="0" w:line="240" w:lineRule="auto"/>
        <w:jc w:val="both"/>
        <w:rPr>
          <w:rFonts w:ascii="Arial" w:hAnsi="Arial" w:cs="Arial"/>
        </w:rPr>
      </w:pPr>
      <w:r w:rsidRPr="004A239C">
        <w:rPr>
          <w:rFonts w:ascii="Arial" w:hAnsi="Arial" w:cs="Arial"/>
        </w:rPr>
        <w:t xml:space="preserve">Tesis: I.10o.P.35 P (10a.) </w:t>
      </w:r>
    </w:p>
    <w:p w:rsidR="003C17B6" w:rsidRPr="004A239C" w:rsidRDefault="003C17B6" w:rsidP="004A239C">
      <w:pPr>
        <w:spacing w:after="0" w:line="240" w:lineRule="auto"/>
        <w:jc w:val="both"/>
        <w:rPr>
          <w:rFonts w:ascii="Arial" w:hAnsi="Arial" w:cs="Arial"/>
        </w:rPr>
      </w:pPr>
    </w:p>
    <w:p w:rsidR="003C17B6" w:rsidRPr="001241E3" w:rsidRDefault="003C17B6" w:rsidP="001241E3">
      <w:pPr>
        <w:pStyle w:val="Ttulo2"/>
        <w:jc w:val="both"/>
        <w:rPr>
          <w:rFonts w:ascii="Arial" w:hAnsi="Arial" w:cs="Arial"/>
          <w:color w:val="B35E06" w:themeColor="accent1" w:themeShade="BF"/>
          <w:sz w:val="26"/>
          <w:szCs w:val="26"/>
        </w:rPr>
      </w:pPr>
      <w:bookmarkStart w:id="1" w:name="_Toc30674841"/>
      <w:r w:rsidRPr="001241E3">
        <w:rPr>
          <w:rFonts w:ascii="Arial" w:hAnsi="Arial" w:cs="Arial"/>
          <w:color w:val="B35E06" w:themeColor="accent1" w:themeShade="BF"/>
          <w:sz w:val="26"/>
          <w:szCs w:val="26"/>
        </w:rPr>
        <w:t>SISTEMA PENAL ACUSATORIO. CONTRA LAS DETERMINACIONES Y RESOLUCIONES DICTADAS EN RECURSOS QUE INCIDAN EN EL TEMA DE LA PERSONALIDAD, EMITIDAS DENTRO DE LA AUDIENCIA INICIAL, ES IMPROCEDENTE EL JUICIO DE AMPARO INDIRECTO, AL NO CONSTITUIR ACTOS DE IMPOSIBLE REPARACIÓN.</w:t>
      </w:r>
      <w:r w:rsidR="001241E3">
        <w:rPr>
          <w:rStyle w:val="Refdenotaalpie"/>
          <w:rFonts w:ascii="Arial" w:hAnsi="Arial" w:cs="Arial"/>
          <w:color w:val="B35E06" w:themeColor="accent1" w:themeShade="BF"/>
          <w:sz w:val="26"/>
          <w:szCs w:val="26"/>
        </w:rPr>
        <w:footnoteReference w:id="1"/>
      </w:r>
      <w:bookmarkEnd w:id="1"/>
    </w:p>
    <w:p w:rsidR="003C17B6" w:rsidRPr="004A239C" w:rsidRDefault="003C17B6" w:rsidP="004A239C">
      <w:pPr>
        <w:spacing w:after="0" w:line="240" w:lineRule="auto"/>
        <w:jc w:val="both"/>
        <w:rPr>
          <w:rFonts w:ascii="Arial" w:hAnsi="Arial" w:cs="Arial"/>
        </w:rPr>
      </w:pPr>
    </w:p>
    <w:p w:rsidR="003C17B6" w:rsidRPr="004A239C" w:rsidRDefault="003C17B6" w:rsidP="004A239C">
      <w:pPr>
        <w:spacing w:after="0" w:line="240" w:lineRule="auto"/>
        <w:jc w:val="both"/>
        <w:rPr>
          <w:rFonts w:ascii="Arial" w:hAnsi="Arial" w:cs="Arial"/>
        </w:rPr>
      </w:pPr>
      <w:r w:rsidRPr="004A239C">
        <w:rPr>
          <w:rFonts w:ascii="Arial" w:hAnsi="Arial" w:cs="Arial"/>
        </w:rPr>
        <w:t>De conformidad con la tesis de jurisprudencia P</w:t>
      </w:r>
      <w:proofErr w:type="gramStart"/>
      <w:r w:rsidRPr="004A239C">
        <w:rPr>
          <w:rFonts w:ascii="Arial" w:hAnsi="Arial" w:cs="Arial"/>
        </w:rPr>
        <w:t>./</w:t>
      </w:r>
      <w:proofErr w:type="gramEnd"/>
      <w:r w:rsidRPr="004A239C">
        <w:rPr>
          <w:rFonts w:ascii="Arial" w:hAnsi="Arial" w:cs="Arial"/>
        </w:rPr>
        <w:t xml:space="preserve">J. 37/2014 (10a.), emitida por el Pleno de la Suprema Corte de Justicia de la Nación, de título y subtítulo: "PERSONALIDAD. EN CONTRA DE LA </w:t>
      </w:r>
      <w:proofErr w:type="spellStart"/>
      <w:r w:rsidRPr="004A239C">
        <w:rPr>
          <w:rFonts w:ascii="Arial" w:hAnsi="Arial" w:cs="Arial"/>
        </w:rPr>
        <w:t>RESOLUCION</w:t>
      </w:r>
      <w:proofErr w:type="spellEnd"/>
      <w:r w:rsidRPr="004A239C">
        <w:rPr>
          <w:rFonts w:ascii="Arial" w:hAnsi="Arial" w:cs="Arial"/>
        </w:rPr>
        <w:t xml:space="preserve"> QUE DESECHA LA EXCEPCIÓN DE FALTA DE PERSONALIDAD SIN ULTERIOR RECURSO, ES IMPROCEDENTE EL AMPARO INDIRECTO, RESULTANDO INAPLICABLE LA JURISPRUDENCIA P./J. 4/2001 (LEY DE AMPARO VIGENTE A PARTIR DEL 3 DE ABRIL DE 2013).", el juicio de amparo indirecto es improcedente contra las resoluciones que desechan la excepción de falta de personalidad, ya que no constituyen actos de imposible reparación, al no afectar materialmente derechos sustantivos. En la ejecutoria de la que derivó ese criterio jurisprudencial, se puntualizó que a pesar de emanar de una contradicción de tesis en materia laboral, es vinculante en todas las materias. En este contexto, si en la audiencia inicial del sistema penal acusatorio se emite una determinación o se resuelve un recurso cuyos efectos inciden en el tema de la personalidad, el juicio de amparo indirecto promovido en su contra es improcedente, al actualizarse la causa descrita en la tesis de jurisprudencia apuntada. Sin que sea óbice que ésta se apoye en el </w:t>
      </w:r>
      <w:r w:rsidRPr="004A239C">
        <w:rPr>
          <w:rFonts w:ascii="Arial" w:hAnsi="Arial" w:cs="Arial"/>
        </w:rPr>
        <w:lastRenderedPageBreak/>
        <w:t xml:space="preserve">artículo 107, fracción V, de la Ley de Amparo, el cual se refiere a "actos en juicio", y que en el caso de la audiencia inicial del sistema penal acusatorio, el acto reclamado derive de una etapa que, en estricto sentido, es anterior a la de juicio oral, pues la expresión "juicio" en los términos que establece la propia ley, está empleada en un sentido lato, aunado a que el aspecto de la personalidad únicamente tendrá efectos </w:t>
      </w:r>
      <w:proofErr w:type="spellStart"/>
      <w:r w:rsidRPr="004A239C">
        <w:rPr>
          <w:rFonts w:ascii="Arial" w:hAnsi="Arial" w:cs="Arial"/>
        </w:rPr>
        <w:t>intraprocesales</w:t>
      </w:r>
      <w:proofErr w:type="spellEnd"/>
      <w:r w:rsidRPr="004A239C">
        <w:rPr>
          <w:rFonts w:ascii="Arial" w:hAnsi="Arial" w:cs="Arial"/>
        </w:rPr>
        <w:t>, los cuales pueden ser reparados si se obtiene alguna resolución favorable a los intereses del quejoso.</w:t>
      </w:r>
    </w:p>
    <w:p w:rsidR="003C17B6" w:rsidRPr="004A239C" w:rsidRDefault="003C17B6" w:rsidP="004A239C">
      <w:pPr>
        <w:spacing w:after="0" w:line="240" w:lineRule="auto"/>
        <w:jc w:val="both"/>
        <w:rPr>
          <w:rFonts w:ascii="Arial" w:hAnsi="Arial" w:cs="Arial"/>
        </w:rPr>
      </w:pPr>
    </w:p>
    <w:p w:rsidR="003C17B6" w:rsidRPr="004A239C" w:rsidRDefault="003C17B6" w:rsidP="004A239C">
      <w:pPr>
        <w:spacing w:after="0" w:line="240" w:lineRule="auto"/>
        <w:jc w:val="both"/>
        <w:rPr>
          <w:rFonts w:ascii="Arial" w:hAnsi="Arial" w:cs="Arial"/>
        </w:rPr>
      </w:pPr>
      <w:r w:rsidRPr="004A239C">
        <w:rPr>
          <w:rFonts w:ascii="Arial" w:hAnsi="Arial" w:cs="Arial"/>
        </w:rPr>
        <w:t>DÉCIMO TRIBUNAL COLEGIADO EN MATERIA PENAL DEL PRIMER CIRCUITO.</w:t>
      </w:r>
    </w:p>
    <w:p w:rsidR="003C17B6" w:rsidRPr="004A239C" w:rsidRDefault="003C17B6" w:rsidP="004A239C">
      <w:pPr>
        <w:spacing w:after="0" w:line="240" w:lineRule="auto"/>
        <w:jc w:val="both"/>
        <w:rPr>
          <w:rFonts w:ascii="Arial" w:hAnsi="Arial" w:cs="Arial"/>
        </w:rPr>
      </w:pPr>
    </w:p>
    <w:p w:rsidR="003C17B6" w:rsidRPr="004A239C" w:rsidRDefault="003C17B6" w:rsidP="004A239C">
      <w:pPr>
        <w:spacing w:after="0" w:line="240" w:lineRule="auto"/>
        <w:jc w:val="both"/>
        <w:rPr>
          <w:rFonts w:ascii="Arial" w:hAnsi="Arial" w:cs="Arial"/>
        </w:rPr>
      </w:pPr>
      <w:r w:rsidRPr="004A239C">
        <w:rPr>
          <w:rFonts w:ascii="Arial" w:hAnsi="Arial" w:cs="Arial"/>
        </w:rPr>
        <w:t>Amparo en revisión 165/2019. 20 de septiembre de 2019. Unanimidad de votos. Ponente: Carlos López Cruz. Secretario: César Roberto Hernández Aguilar.</w:t>
      </w:r>
    </w:p>
    <w:p w:rsidR="003C17B6" w:rsidRPr="004A239C" w:rsidRDefault="003C17B6" w:rsidP="004A239C">
      <w:pPr>
        <w:spacing w:after="0" w:line="240" w:lineRule="auto"/>
        <w:jc w:val="both"/>
        <w:rPr>
          <w:rFonts w:ascii="Arial" w:hAnsi="Arial" w:cs="Arial"/>
        </w:rPr>
      </w:pPr>
    </w:p>
    <w:p w:rsidR="003C17B6" w:rsidRPr="004A239C" w:rsidRDefault="003C17B6" w:rsidP="004A239C">
      <w:pPr>
        <w:spacing w:after="0" w:line="240" w:lineRule="auto"/>
        <w:jc w:val="both"/>
        <w:rPr>
          <w:rFonts w:ascii="Arial" w:hAnsi="Arial" w:cs="Arial"/>
        </w:rPr>
      </w:pPr>
      <w:r w:rsidRPr="004A239C">
        <w:rPr>
          <w:rFonts w:ascii="Arial" w:hAnsi="Arial" w:cs="Arial"/>
        </w:rPr>
        <w:t>Nota: La tesis de jurisprudencia P./J. 37/2014 (10a.) citada, aparece publicada en el Semanario Judicial de la Federación del viernes 6 de junio de 2014 a las 12:30 horas y en la Gaceta del Semanario Judicial de la Federación, Décima Época, Libro 7, Tomo I, junio de 2014, página 39, con número de registro digital: 2006589.</w:t>
      </w:r>
    </w:p>
    <w:p w:rsidR="003C17B6" w:rsidRPr="004A239C" w:rsidRDefault="003C17B6" w:rsidP="004A239C">
      <w:pPr>
        <w:spacing w:after="0" w:line="240" w:lineRule="auto"/>
        <w:jc w:val="both"/>
        <w:rPr>
          <w:rFonts w:ascii="Arial" w:hAnsi="Arial" w:cs="Arial"/>
        </w:rPr>
      </w:pPr>
    </w:p>
    <w:p w:rsidR="004B7ECB" w:rsidRDefault="004B7ECB" w:rsidP="004A239C">
      <w:pPr>
        <w:spacing w:after="0" w:line="240" w:lineRule="auto"/>
        <w:jc w:val="both"/>
        <w:rPr>
          <w:rFonts w:ascii="Arial" w:hAnsi="Arial" w:cs="Arial"/>
        </w:rPr>
      </w:pPr>
    </w:p>
    <w:p w:rsidR="004B7ECB" w:rsidRPr="004B7ECB" w:rsidRDefault="001241E3" w:rsidP="004B7ECB">
      <w:pPr>
        <w:spacing w:after="0" w:line="240" w:lineRule="auto"/>
        <w:jc w:val="both"/>
        <w:rPr>
          <w:rFonts w:ascii="Arial" w:hAnsi="Arial" w:cs="Arial"/>
        </w:rPr>
      </w:pPr>
      <w:r>
        <w:rPr>
          <w:rFonts w:ascii="Arial" w:hAnsi="Arial" w:cs="Arial"/>
        </w:rPr>
        <w:t xml:space="preserve">2. </w:t>
      </w:r>
      <w:r w:rsidR="004B7ECB" w:rsidRPr="004B7ECB">
        <w:rPr>
          <w:rFonts w:ascii="Arial" w:hAnsi="Arial" w:cs="Arial"/>
        </w:rPr>
        <w:t xml:space="preserve">Época: Décima Época </w:t>
      </w:r>
    </w:p>
    <w:p w:rsidR="004B7ECB" w:rsidRPr="004B7ECB" w:rsidRDefault="004B7ECB" w:rsidP="004B7ECB">
      <w:pPr>
        <w:spacing w:after="0" w:line="240" w:lineRule="auto"/>
        <w:jc w:val="both"/>
        <w:rPr>
          <w:rFonts w:ascii="Arial" w:hAnsi="Arial" w:cs="Arial"/>
        </w:rPr>
      </w:pPr>
      <w:r w:rsidRPr="004B7ECB">
        <w:rPr>
          <w:rFonts w:ascii="Arial" w:hAnsi="Arial" w:cs="Arial"/>
        </w:rPr>
        <w:t xml:space="preserve">Registro: 2021437 </w:t>
      </w:r>
    </w:p>
    <w:p w:rsidR="004B7ECB" w:rsidRPr="004B7ECB" w:rsidRDefault="004B7ECB" w:rsidP="004B7ECB">
      <w:pPr>
        <w:spacing w:after="0" w:line="240" w:lineRule="auto"/>
        <w:jc w:val="both"/>
        <w:rPr>
          <w:rFonts w:ascii="Arial" w:hAnsi="Arial" w:cs="Arial"/>
        </w:rPr>
      </w:pPr>
      <w:r w:rsidRPr="004B7ECB">
        <w:rPr>
          <w:rFonts w:ascii="Arial" w:hAnsi="Arial" w:cs="Arial"/>
        </w:rPr>
        <w:t xml:space="preserve">Instancia: Tribunales Colegiados de Circuito </w:t>
      </w:r>
    </w:p>
    <w:p w:rsidR="004B7ECB" w:rsidRPr="004B7ECB" w:rsidRDefault="004B7ECB" w:rsidP="004B7ECB">
      <w:pPr>
        <w:spacing w:after="0" w:line="240" w:lineRule="auto"/>
        <w:jc w:val="both"/>
        <w:rPr>
          <w:rFonts w:ascii="Arial" w:hAnsi="Arial" w:cs="Arial"/>
        </w:rPr>
      </w:pPr>
      <w:r w:rsidRPr="004B7ECB">
        <w:rPr>
          <w:rFonts w:ascii="Arial" w:hAnsi="Arial" w:cs="Arial"/>
        </w:rPr>
        <w:t xml:space="preserve">Tipo de Tesis: Aislada </w:t>
      </w:r>
    </w:p>
    <w:p w:rsidR="004B7ECB" w:rsidRPr="004B7ECB" w:rsidRDefault="004B7ECB" w:rsidP="004B7ECB">
      <w:pPr>
        <w:spacing w:after="0" w:line="240" w:lineRule="auto"/>
        <w:jc w:val="both"/>
        <w:rPr>
          <w:rFonts w:ascii="Arial" w:hAnsi="Arial" w:cs="Arial"/>
        </w:rPr>
      </w:pPr>
      <w:r w:rsidRPr="004B7ECB">
        <w:rPr>
          <w:rFonts w:ascii="Arial" w:hAnsi="Arial" w:cs="Arial"/>
        </w:rPr>
        <w:t xml:space="preserve">Fuente: Semanario Judicial de la Federación </w:t>
      </w:r>
    </w:p>
    <w:p w:rsidR="004B7ECB" w:rsidRPr="004B7ECB" w:rsidRDefault="004B7ECB" w:rsidP="004B7ECB">
      <w:pPr>
        <w:spacing w:after="0" w:line="240" w:lineRule="auto"/>
        <w:jc w:val="both"/>
        <w:rPr>
          <w:rFonts w:ascii="Arial" w:hAnsi="Arial" w:cs="Arial"/>
        </w:rPr>
      </w:pPr>
      <w:r w:rsidRPr="004B7ECB">
        <w:rPr>
          <w:rFonts w:ascii="Arial" w:hAnsi="Arial" w:cs="Arial"/>
        </w:rPr>
        <w:t xml:space="preserve">Publicación: viernes 17 de enero de 2020 10:18 h </w:t>
      </w:r>
    </w:p>
    <w:p w:rsidR="004B7ECB" w:rsidRPr="004B7ECB" w:rsidRDefault="004B7ECB" w:rsidP="004B7ECB">
      <w:pPr>
        <w:spacing w:after="0" w:line="240" w:lineRule="auto"/>
        <w:jc w:val="both"/>
        <w:rPr>
          <w:rFonts w:ascii="Arial" w:hAnsi="Arial" w:cs="Arial"/>
        </w:rPr>
      </w:pPr>
      <w:r w:rsidRPr="004B7ECB">
        <w:rPr>
          <w:rFonts w:ascii="Arial" w:hAnsi="Arial" w:cs="Arial"/>
        </w:rPr>
        <w:t xml:space="preserve">Materia(s): (Penal) </w:t>
      </w:r>
    </w:p>
    <w:p w:rsidR="004B7ECB" w:rsidRPr="004B7ECB" w:rsidRDefault="004B7ECB" w:rsidP="004B7ECB">
      <w:pPr>
        <w:spacing w:after="0" w:line="240" w:lineRule="auto"/>
        <w:jc w:val="both"/>
        <w:rPr>
          <w:rFonts w:ascii="Arial" w:hAnsi="Arial" w:cs="Arial"/>
        </w:rPr>
      </w:pPr>
      <w:r w:rsidRPr="004B7ECB">
        <w:rPr>
          <w:rFonts w:ascii="Arial" w:hAnsi="Arial" w:cs="Arial"/>
        </w:rPr>
        <w:t xml:space="preserve">Tesis: I.4o.P.34 P (10a.) </w:t>
      </w:r>
    </w:p>
    <w:p w:rsidR="004B7ECB" w:rsidRPr="004B7ECB" w:rsidRDefault="004B7ECB" w:rsidP="004B7ECB">
      <w:pPr>
        <w:spacing w:after="0" w:line="240" w:lineRule="auto"/>
        <w:jc w:val="both"/>
        <w:rPr>
          <w:rFonts w:ascii="Arial" w:hAnsi="Arial" w:cs="Arial"/>
        </w:rPr>
      </w:pPr>
    </w:p>
    <w:p w:rsidR="004B7ECB" w:rsidRPr="001241E3" w:rsidRDefault="004B7ECB" w:rsidP="001241E3">
      <w:pPr>
        <w:pStyle w:val="Ttulo2"/>
        <w:jc w:val="both"/>
        <w:rPr>
          <w:rFonts w:ascii="Arial" w:hAnsi="Arial" w:cs="Arial"/>
          <w:sz w:val="26"/>
          <w:szCs w:val="26"/>
        </w:rPr>
      </w:pPr>
      <w:bookmarkStart w:id="2" w:name="_Toc30674842"/>
      <w:r w:rsidRPr="001241E3">
        <w:rPr>
          <w:rFonts w:ascii="Arial" w:hAnsi="Arial" w:cs="Arial"/>
          <w:color w:val="B35E06" w:themeColor="accent1" w:themeShade="BF"/>
          <w:sz w:val="26"/>
          <w:szCs w:val="26"/>
        </w:rPr>
        <w:t>SEPARACIÓN DE PROCESOS PREVISTA EN EL ARTÍCULO 35 DEL CÓDIGO NACIONAL DE PROCEDIMIENTOS PENALES. DEBE SOLICITARSE ANTES DEL AUTO DE APERTURA A JUICIO, Y DECRETARSE HASTA ANTES DE LA AUDIENCIA DE JUICIO.</w:t>
      </w:r>
      <w:bookmarkEnd w:id="2"/>
    </w:p>
    <w:p w:rsidR="004B7ECB" w:rsidRPr="004B7ECB" w:rsidRDefault="004B7ECB" w:rsidP="004B7ECB">
      <w:pPr>
        <w:spacing w:after="0" w:line="240" w:lineRule="auto"/>
        <w:jc w:val="both"/>
        <w:rPr>
          <w:rFonts w:ascii="Arial" w:hAnsi="Arial" w:cs="Arial"/>
        </w:rPr>
      </w:pPr>
    </w:p>
    <w:p w:rsidR="004B7ECB" w:rsidRPr="004B7ECB" w:rsidRDefault="004B7ECB" w:rsidP="004B7ECB">
      <w:pPr>
        <w:spacing w:after="0" w:line="240" w:lineRule="auto"/>
        <w:jc w:val="both"/>
        <w:rPr>
          <w:rFonts w:ascii="Arial" w:hAnsi="Arial" w:cs="Arial"/>
        </w:rPr>
      </w:pPr>
      <w:r w:rsidRPr="004B7ECB">
        <w:rPr>
          <w:rFonts w:ascii="Arial" w:hAnsi="Arial" w:cs="Arial"/>
        </w:rPr>
        <w:t xml:space="preserve">Acorde con el escenario en que se desarrolla la tutela judicial efectiva prevista en el artículo 17 de la Constitución Política de los Estados Unidos Mexicanos, se condiciona la procedencia de lo pedido, entre otros requisitos, a la oportunidad en que se formule la solicitud respectiva. Por otro lado, la lectura del artículo 35 del </w:t>
      </w:r>
      <w:r w:rsidRPr="004B7ECB">
        <w:rPr>
          <w:rFonts w:ascii="Arial" w:hAnsi="Arial" w:cs="Arial"/>
        </w:rPr>
        <w:lastRenderedPageBreak/>
        <w:t>Código Nacional de Procedimientos Penales, podría llevar a considerar que son dos momentos en que puede solicitarse la separación de procesos: a) antes del auto de apertura a juicio; o, b) hasta antes de la audiencia de juicio, lo que torna necesario esclarecer ese punto a partir de la interpretación que se asuma del precepto citado, en conjunción con el contexto normativo del que forma parte. Así, bajo una interpretación sistemática de los artículos 32, 33, 35, 211, fracción II y 344 del código indicado, se concluye que la separación de procesos debe solicitarse por alguna de las partes antes del dictado del auto de apertura a juicio y puede decretarse hasta antes de la audiencia de juicio. Afirmación que comulga con dos de los principios en que se cimienta el sistema acusatorio: la continuidad en las actuaciones y la posibilidad de contradecir lo resuelto, sin causar mayores dilaciones en la decisión final del asunto.</w:t>
      </w:r>
    </w:p>
    <w:p w:rsidR="004B7ECB" w:rsidRPr="004B7ECB" w:rsidRDefault="004B7ECB" w:rsidP="004B7ECB">
      <w:pPr>
        <w:spacing w:after="0" w:line="240" w:lineRule="auto"/>
        <w:jc w:val="both"/>
        <w:rPr>
          <w:rFonts w:ascii="Arial" w:hAnsi="Arial" w:cs="Arial"/>
        </w:rPr>
      </w:pPr>
    </w:p>
    <w:p w:rsidR="004B7ECB" w:rsidRPr="004B7ECB" w:rsidRDefault="004B7ECB" w:rsidP="004B7ECB">
      <w:pPr>
        <w:spacing w:after="0" w:line="240" w:lineRule="auto"/>
        <w:jc w:val="both"/>
        <w:rPr>
          <w:rFonts w:ascii="Arial" w:hAnsi="Arial" w:cs="Arial"/>
        </w:rPr>
      </w:pPr>
      <w:r w:rsidRPr="004B7ECB">
        <w:rPr>
          <w:rFonts w:ascii="Arial" w:hAnsi="Arial" w:cs="Arial"/>
        </w:rPr>
        <w:t>CUARTO TRIBUNAL COLEGIADO EN MATERIA PENAL DEL PRIMER CIRCUITO.</w:t>
      </w:r>
    </w:p>
    <w:p w:rsidR="004B7ECB" w:rsidRPr="004B7ECB" w:rsidRDefault="004B7ECB" w:rsidP="004B7ECB">
      <w:pPr>
        <w:spacing w:after="0" w:line="240" w:lineRule="auto"/>
        <w:jc w:val="both"/>
        <w:rPr>
          <w:rFonts w:ascii="Arial" w:hAnsi="Arial" w:cs="Arial"/>
        </w:rPr>
      </w:pPr>
    </w:p>
    <w:p w:rsidR="004B7ECB" w:rsidRPr="004B7ECB" w:rsidRDefault="004B7ECB" w:rsidP="004B7ECB">
      <w:pPr>
        <w:spacing w:after="0" w:line="240" w:lineRule="auto"/>
        <w:jc w:val="both"/>
        <w:rPr>
          <w:rFonts w:ascii="Arial" w:hAnsi="Arial" w:cs="Arial"/>
        </w:rPr>
      </w:pPr>
      <w:r w:rsidRPr="004B7ECB">
        <w:rPr>
          <w:rFonts w:ascii="Arial" w:hAnsi="Arial" w:cs="Arial"/>
        </w:rPr>
        <w:t xml:space="preserve">Amparo en revisión 234/2019. 24 de octubre de 2019. Unanimidad de votos. Ponente: Olga </w:t>
      </w:r>
      <w:proofErr w:type="spellStart"/>
      <w:r w:rsidRPr="004B7ECB">
        <w:rPr>
          <w:rFonts w:ascii="Arial" w:hAnsi="Arial" w:cs="Arial"/>
        </w:rPr>
        <w:t>Estrever</w:t>
      </w:r>
      <w:proofErr w:type="spellEnd"/>
      <w:r w:rsidRPr="004B7ECB">
        <w:rPr>
          <w:rFonts w:ascii="Arial" w:hAnsi="Arial" w:cs="Arial"/>
        </w:rPr>
        <w:t xml:space="preserve"> Escamilla. Secretario: Germán Ernesto Olivera Sánchez.</w:t>
      </w:r>
    </w:p>
    <w:p w:rsidR="004B7ECB" w:rsidRPr="004B7ECB" w:rsidRDefault="004B7ECB" w:rsidP="004B7ECB">
      <w:pPr>
        <w:spacing w:after="0" w:line="240" w:lineRule="auto"/>
        <w:jc w:val="both"/>
        <w:rPr>
          <w:rFonts w:ascii="Arial" w:hAnsi="Arial" w:cs="Arial"/>
        </w:rPr>
      </w:pPr>
    </w:p>
    <w:p w:rsidR="001241E3" w:rsidRDefault="001241E3" w:rsidP="00647CE5">
      <w:pPr>
        <w:spacing w:after="0" w:line="240" w:lineRule="auto"/>
        <w:jc w:val="both"/>
        <w:rPr>
          <w:rFonts w:ascii="Arial" w:hAnsi="Arial" w:cs="Arial"/>
        </w:rPr>
      </w:pPr>
    </w:p>
    <w:p w:rsidR="00647CE5" w:rsidRPr="00647CE5" w:rsidRDefault="001241E3" w:rsidP="00647CE5">
      <w:pPr>
        <w:spacing w:after="0" w:line="240" w:lineRule="auto"/>
        <w:jc w:val="both"/>
        <w:rPr>
          <w:rFonts w:ascii="Arial" w:hAnsi="Arial" w:cs="Arial"/>
        </w:rPr>
      </w:pPr>
      <w:r>
        <w:rPr>
          <w:rFonts w:ascii="Arial" w:hAnsi="Arial" w:cs="Arial"/>
        </w:rPr>
        <w:t xml:space="preserve">3. </w:t>
      </w:r>
      <w:r w:rsidR="00647CE5" w:rsidRPr="00647CE5">
        <w:rPr>
          <w:rFonts w:ascii="Arial" w:hAnsi="Arial" w:cs="Arial"/>
        </w:rPr>
        <w:t xml:space="preserve">Época: Décima Época </w:t>
      </w:r>
    </w:p>
    <w:p w:rsidR="00647CE5" w:rsidRPr="00647CE5" w:rsidRDefault="00647CE5" w:rsidP="00647CE5">
      <w:pPr>
        <w:spacing w:after="0" w:line="240" w:lineRule="auto"/>
        <w:jc w:val="both"/>
        <w:rPr>
          <w:rFonts w:ascii="Arial" w:hAnsi="Arial" w:cs="Arial"/>
        </w:rPr>
      </w:pPr>
      <w:r w:rsidRPr="00647CE5">
        <w:rPr>
          <w:rFonts w:ascii="Arial" w:hAnsi="Arial" w:cs="Arial"/>
        </w:rPr>
        <w:t xml:space="preserve">Registro: 2021434 </w:t>
      </w:r>
    </w:p>
    <w:p w:rsidR="00647CE5" w:rsidRPr="00647CE5" w:rsidRDefault="00647CE5" w:rsidP="00647CE5">
      <w:pPr>
        <w:spacing w:after="0" w:line="240" w:lineRule="auto"/>
        <w:jc w:val="both"/>
        <w:rPr>
          <w:rFonts w:ascii="Arial" w:hAnsi="Arial" w:cs="Arial"/>
        </w:rPr>
      </w:pPr>
      <w:r w:rsidRPr="00647CE5">
        <w:rPr>
          <w:rFonts w:ascii="Arial" w:hAnsi="Arial" w:cs="Arial"/>
        </w:rPr>
        <w:t xml:space="preserve">Instancia: Tribunales Colegiados de Circuito </w:t>
      </w:r>
    </w:p>
    <w:p w:rsidR="00647CE5" w:rsidRPr="00647CE5" w:rsidRDefault="00647CE5" w:rsidP="00647CE5">
      <w:pPr>
        <w:spacing w:after="0" w:line="240" w:lineRule="auto"/>
        <w:jc w:val="both"/>
        <w:rPr>
          <w:rFonts w:ascii="Arial" w:hAnsi="Arial" w:cs="Arial"/>
        </w:rPr>
      </w:pPr>
      <w:r w:rsidRPr="00647CE5">
        <w:rPr>
          <w:rFonts w:ascii="Arial" w:hAnsi="Arial" w:cs="Arial"/>
        </w:rPr>
        <w:t xml:space="preserve">Tipo de Tesis: Aislada </w:t>
      </w:r>
    </w:p>
    <w:p w:rsidR="00647CE5" w:rsidRPr="00647CE5" w:rsidRDefault="00647CE5" w:rsidP="00647CE5">
      <w:pPr>
        <w:spacing w:after="0" w:line="240" w:lineRule="auto"/>
        <w:jc w:val="both"/>
        <w:rPr>
          <w:rFonts w:ascii="Arial" w:hAnsi="Arial" w:cs="Arial"/>
        </w:rPr>
      </w:pPr>
      <w:r w:rsidRPr="00647CE5">
        <w:rPr>
          <w:rFonts w:ascii="Arial" w:hAnsi="Arial" w:cs="Arial"/>
        </w:rPr>
        <w:t xml:space="preserve">Fuente: Semanario Judicial de la Federación </w:t>
      </w:r>
    </w:p>
    <w:p w:rsidR="00647CE5" w:rsidRPr="00647CE5" w:rsidRDefault="00647CE5" w:rsidP="00647CE5">
      <w:pPr>
        <w:spacing w:after="0" w:line="240" w:lineRule="auto"/>
        <w:jc w:val="both"/>
        <w:rPr>
          <w:rFonts w:ascii="Arial" w:hAnsi="Arial" w:cs="Arial"/>
        </w:rPr>
      </w:pPr>
      <w:r w:rsidRPr="00647CE5">
        <w:rPr>
          <w:rFonts w:ascii="Arial" w:hAnsi="Arial" w:cs="Arial"/>
        </w:rPr>
        <w:t xml:space="preserve">Publicación: viernes 17 de enero de 2020 10:18 h </w:t>
      </w:r>
    </w:p>
    <w:p w:rsidR="00647CE5" w:rsidRPr="00647CE5" w:rsidRDefault="00647CE5" w:rsidP="00647CE5">
      <w:pPr>
        <w:spacing w:after="0" w:line="240" w:lineRule="auto"/>
        <w:jc w:val="both"/>
        <w:rPr>
          <w:rFonts w:ascii="Arial" w:hAnsi="Arial" w:cs="Arial"/>
        </w:rPr>
      </w:pPr>
      <w:r w:rsidRPr="00647CE5">
        <w:rPr>
          <w:rFonts w:ascii="Arial" w:hAnsi="Arial" w:cs="Arial"/>
        </w:rPr>
        <w:t xml:space="preserve">Materia(s): (Común, Penal) </w:t>
      </w:r>
    </w:p>
    <w:p w:rsidR="00647CE5" w:rsidRPr="00647CE5" w:rsidRDefault="00647CE5" w:rsidP="00647CE5">
      <w:pPr>
        <w:spacing w:after="0" w:line="240" w:lineRule="auto"/>
        <w:jc w:val="both"/>
        <w:rPr>
          <w:rFonts w:ascii="Arial" w:hAnsi="Arial" w:cs="Arial"/>
        </w:rPr>
      </w:pPr>
      <w:r w:rsidRPr="00647CE5">
        <w:rPr>
          <w:rFonts w:ascii="Arial" w:hAnsi="Arial" w:cs="Arial"/>
        </w:rPr>
        <w:t xml:space="preserve">Tesis: I.10o.P.33 P (10a.) </w:t>
      </w:r>
    </w:p>
    <w:p w:rsidR="00647CE5" w:rsidRPr="00647CE5" w:rsidRDefault="00647CE5" w:rsidP="00647CE5">
      <w:pPr>
        <w:spacing w:after="0" w:line="240" w:lineRule="auto"/>
        <w:jc w:val="both"/>
        <w:rPr>
          <w:rFonts w:ascii="Arial" w:hAnsi="Arial" w:cs="Arial"/>
        </w:rPr>
      </w:pPr>
    </w:p>
    <w:p w:rsidR="00647CE5" w:rsidRPr="001241E3" w:rsidRDefault="00647CE5" w:rsidP="001241E3">
      <w:pPr>
        <w:pStyle w:val="Ttulo2"/>
        <w:jc w:val="both"/>
        <w:rPr>
          <w:rFonts w:ascii="Arial" w:hAnsi="Arial" w:cs="Arial"/>
          <w:sz w:val="26"/>
          <w:szCs w:val="26"/>
        </w:rPr>
      </w:pPr>
      <w:bookmarkStart w:id="3" w:name="_Toc30674843"/>
      <w:r w:rsidRPr="001241E3">
        <w:rPr>
          <w:rFonts w:ascii="Arial" w:hAnsi="Arial" w:cs="Arial"/>
          <w:color w:val="B35E06" w:themeColor="accent1" w:themeShade="BF"/>
          <w:sz w:val="26"/>
          <w:szCs w:val="26"/>
        </w:rPr>
        <w:t>RESOLUCIÓN EMITIDA POR EL JUEZ DE CONTROL EN EL RECURSO INNOMINADO PREVISTO EN EL ARTÍCULO 258 DEL CÓDIGO NACIONAL DE PROCEDIMIENTOS PENALES. EN SU CONTRA ES INNECESARIO AGOTAR MEDIO DE DEFENSA ALGUNO, PREVIO A PROMOVER EL JUICIO DE AMPARO INDIRECTO.</w:t>
      </w:r>
      <w:r w:rsidR="001241E3">
        <w:rPr>
          <w:rStyle w:val="Refdenotaalpie"/>
          <w:rFonts w:ascii="Arial" w:hAnsi="Arial" w:cs="Arial"/>
          <w:color w:val="B35E06" w:themeColor="accent1" w:themeShade="BF"/>
          <w:sz w:val="26"/>
          <w:szCs w:val="26"/>
        </w:rPr>
        <w:footnoteReference w:id="2"/>
      </w:r>
      <w:bookmarkEnd w:id="3"/>
    </w:p>
    <w:p w:rsidR="00647CE5" w:rsidRPr="00647CE5" w:rsidRDefault="00647CE5" w:rsidP="00647CE5">
      <w:pPr>
        <w:spacing w:after="0" w:line="240" w:lineRule="auto"/>
        <w:jc w:val="both"/>
        <w:rPr>
          <w:rFonts w:ascii="Arial" w:hAnsi="Arial" w:cs="Arial"/>
        </w:rPr>
      </w:pPr>
    </w:p>
    <w:p w:rsidR="00647CE5" w:rsidRPr="00647CE5" w:rsidRDefault="00647CE5" w:rsidP="00647CE5">
      <w:pPr>
        <w:spacing w:after="0" w:line="240" w:lineRule="auto"/>
        <w:jc w:val="both"/>
        <w:rPr>
          <w:rFonts w:ascii="Arial" w:hAnsi="Arial" w:cs="Arial"/>
        </w:rPr>
      </w:pPr>
      <w:r w:rsidRPr="00647CE5">
        <w:rPr>
          <w:rFonts w:ascii="Arial" w:hAnsi="Arial" w:cs="Arial"/>
        </w:rPr>
        <w:lastRenderedPageBreak/>
        <w:t>Del artículo mencionado se advierte que la resolución que emita el Juez de control en sus términos, no admite recurso alguno, lo que significa que en su contra son improcedentes tanto la apelación como la revocación, con independencia de que el juzgador haya dado trámite al recurso y analizado el fondo de la controversia, o bien, resuelto sin mayor trámite. De ahí que contra la resolución emitida por el Juez de control en el recurso innominado previsto en el citado numeral procedería, en su caso, el juicio de amparo indirecto, sin necesidad de agotar algún otro recurso o medio de defensa que conceda la ley ordinaria, pues de estimar lo contrario no sólo se estaría introduciendo un recurso no previsto por la ley, sino también se actuaría en perjuicio de la pronta impartición de justicia, a que se refieren los artículos 17 de la Constitución Política de los Estados Unidos Mexicanos y 16 del Código Nacional de Procedimientos Penales.</w:t>
      </w:r>
    </w:p>
    <w:p w:rsidR="00647CE5" w:rsidRPr="00647CE5" w:rsidRDefault="00647CE5" w:rsidP="00647CE5">
      <w:pPr>
        <w:spacing w:after="0" w:line="240" w:lineRule="auto"/>
        <w:jc w:val="both"/>
        <w:rPr>
          <w:rFonts w:ascii="Arial" w:hAnsi="Arial" w:cs="Arial"/>
        </w:rPr>
      </w:pPr>
    </w:p>
    <w:p w:rsidR="00647CE5" w:rsidRPr="00647CE5" w:rsidRDefault="00647CE5" w:rsidP="00647CE5">
      <w:pPr>
        <w:spacing w:after="0" w:line="240" w:lineRule="auto"/>
        <w:jc w:val="both"/>
        <w:rPr>
          <w:rFonts w:ascii="Arial" w:hAnsi="Arial" w:cs="Arial"/>
        </w:rPr>
      </w:pPr>
      <w:r w:rsidRPr="00647CE5">
        <w:rPr>
          <w:rFonts w:ascii="Arial" w:hAnsi="Arial" w:cs="Arial"/>
        </w:rPr>
        <w:t>DÉCIMO TRIBUNAL COLEGIADO EN MATERIA PENAL DEL PRIMER CIRCUITO.</w:t>
      </w:r>
    </w:p>
    <w:p w:rsidR="00647CE5" w:rsidRPr="00647CE5" w:rsidRDefault="00647CE5" w:rsidP="00647CE5">
      <w:pPr>
        <w:spacing w:after="0" w:line="240" w:lineRule="auto"/>
        <w:jc w:val="both"/>
        <w:rPr>
          <w:rFonts w:ascii="Arial" w:hAnsi="Arial" w:cs="Arial"/>
        </w:rPr>
      </w:pPr>
    </w:p>
    <w:p w:rsidR="00647CE5" w:rsidRPr="00647CE5" w:rsidRDefault="00647CE5" w:rsidP="00647CE5">
      <w:pPr>
        <w:spacing w:after="0" w:line="240" w:lineRule="auto"/>
        <w:jc w:val="both"/>
        <w:rPr>
          <w:rFonts w:ascii="Arial" w:hAnsi="Arial" w:cs="Arial"/>
        </w:rPr>
      </w:pPr>
      <w:r w:rsidRPr="00647CE5">
        <w:rPr>
          <w:rFonts w:ascii="Arial" w:hAnsi="Arial" w:cs="Arial"/>
        </w:rPr>
        <w:t xml:space="preserve">Amparo en revisión 125/2019. 13 de junio de 2019. Unanimidad de votos. Ponente: Silvia </w:t>
      </w:r>
      <w:proofErr w:type="spellStart"/>
      <w:r w:rsidRPr="00647CE5">
        <w:rPr>
          <w:rFonts w:ascii="Arial" w:hAnsi="Arial" w:cs="Arial"/>
        </w:rPr>
        <w:t>Estrever</w:t>
      </w:r>
      <w:proofErr w:type="spellEnd"/>
      <w:r w:rsidRPr="00647CE5">
        <w:rPr>
          <w:rFonts w:ascii="Arial" w:hAnsi="Arial" w:cs="Arial"/>
        </w:rPr>
        <w:t xml:space="preserve"> Escamilla. Secretario: Aureliano Pérez </w:t>
      </w:r>
      <w:proofErr w:type="spellStart"/>
      <w:r w:rsidRPr="00647CE5">
        <w:rPr>
          <w:rFonts w:ascii="Arial" w:hAnsi="Arial" w:cs="Arial"/>
        </w:rPr>
        <w:t>Telles</w:t>
      </w:r>
      <w:proofErr w:type="spellEnd"/>
      <w:r w:rsidRPr="00647CE5">
        <w:rPr>
          <w:rFonts w:ascii="Arial" w:hAnsi="Arial" w:cs="Arial"/>
        </w:rPr>
        <w:t>.</w:t>
      </w:r>
    </w:p>
    <w:p w:rsidR="00647CE5" w:rsidRPr="00647CE5" w:rsidRDefault="00647CE5" w:rsidP="00647CE5">
      <w:pPr>
        <w:spacing w:after="0" w:line="240" w:lineRule="auto"/>
        <w:jc w:val="both"/>
        <w:rPr>
          <w:rFonts w:ascii="Arial" w:hAnsi="Arial" w:cs="Arial"/>
        </w:rPr>
      </w:pPr>
    </w:p>
    <w:p w:rsidR="004B7ECB" w:rsidRDefault="004B7ECB" w:rsidP="004A239C">
      <w:pPr>
        <w:spacing w:after="0" w:line="240" w:lineRule="auto"/>
        <w:jc w:val="both"/>
        <w:rPr>
          <w:rFonts w:ascii="Arial" w:hAnsi="Arial" w:cs="Arial"/>
        </w:rPr>
      </w:pPr>
    </w:p>
    <w:p w:rsidR="00B0109C" w:rsidRDefault="00B0109C" w:rsidP="004A239C">
      <w:pPr>
        <w:spacing w:after="0" w:line="240" w:lineRule="auto"/>
        <w:jc w:val="both"/>
        <w:rPr>
          <w:rFonts w:ascii="Arial" w:hAnsi="Arial" w:cs="Arial"/>
        </w:rPr>
      </w:pPr>
    </w:p>
    <w:p w:rsidR="00B0109C" w:rsidRPr="00B0109C" w:rsidRDefault="001241E3" w:rsidP="00B0109C">
      <w:pPr>
        <w:spacing w:after="0" w:line="240" w:lineRule="auto"/>
        <w:jc w:val="both"/>
        <w:rPr>
          <w:rFonts w:ascii="Arial" w:hAnsi="Arial" w:cs="Arial"/>
        </w:rPr>
      </w:pPr>
      <w:r>
        <w:rPr>
          <w:rFonts w:ascii="Arial" w:hAnsi="Arial" w:cs="Arial"/>
        </w:rPr>
        <w:t xml:space="preserve">4. </w:t>
      </w:r>
      <w:r w:rsidR="00B0109C" w:rsidRPr="00B0109C">
        <w:rPr>
          <w:rFonts w:ascii="Arial" w:hAnsi="Arial" w:cs="Arial"/>
        </w:rPr>
        <w:t xml:space="preserve">Época: Décima Época </w:t>
      </w:r>
    </w:p>
    <w:p w:rsidR="00B0109C" w:rsidRPr="00B0109C" w:rsidRDefault="00B0109C" w:rsidP="00B0109C">
      <w:pPr>
        <w:spacing w:after="0" w:line="240" w:lineRule="auto"/>
        <w:jc w:val="both"/>
        <w:rPr>
          <w:rFonts w:ascii="Arial" w:hAnsi="Arial" w:cs="Arial"/>
        </w:rPr>
      </w:pPr>
      <w:r w:rsidRPr="00B0109C">
        <w:rPr>
          <w:rFonts w:ascii="Arial" w:hAnsi="Arial" w:cs="Arial"/>
        </w:rPr>
        <w:t xml:space="preserve">Registro: 2021402 </w:t>
      </w:r>
    </w:p>
    <w:p w:rsidR="00B0109C" w:rsidRPr="00B0109C" w:rsidRDefault="00B0109C" w:rsidP="00B0109C">
      <w:pPr>
        <w:spacing w:after="0" w:line="240" w:lineRule="auto"/>
        <w:jc w:val="both"/>
        <w:rPr>
          <w:rFonts w:ascii="Arial" w:hAnsi="Arial" w:cs="Arial"/>
        </w:rPr>
      </w:pPr>
      <w:r w:rsidRPr="00B0109C">
        <w:rPr>
          <w:rFonts w:ascii="Arial" w:hAnsi="Arial" w:cs="Arial"/>
        </w:rPr>
        <w:t xml:space="preserve">Instancia: Tribunales Colegiados de Circuito </w:t>
      </w:r>
    </w:p>
    <w:p w:rsidR="00B0109C" w:rsidRPr="00B0109C" w:rsidRDefault="00B0109C" w:rsidP="00B0109C">
      <w:pPr>
        <w:spacing w:after="0" w:line="240" w:lineRule="auto"/>
        <w:jc w:val="both"/>
        <w:rPr>
          <w:rFonts w:ascii="Arial" w:hAnsi="Arial" w:cs="Arial"/>
        </w:rPr>
      </w:pPr>
      <w:r w:rsidRPr="00B0109C">
        <w:rPr>
          <w:rFonts w:ascii="Arial" w:hAnsi="Arial" w:cs="Arial"/>
        </w:rPr>
        <w:t xml:space="preserve">Tipo de Tesis: Aislada </w:t>
      </w:r>
    </w:p>
    <w:p w:rsidR="00B0109C" w:rsidRPr="00B0109C" w:rsidRDefault="00B0109C" w:rsidP="00B0109C">
      <w:pPr>
        <w:spacing w:after="0" w:line="240" w:lineRule="auto"/>
        <w:jc w:val="both"/>
        <w:rPr>
          <w:rFonts w:ascii="Arial" w:hAnsi="Arial" w:cs="Arial"/>
        </w:rPr>
      </w:pPr>
      <w:r w:rsidRPr="00B0109C">
        <w:rPr>
          <w:rFonts w:ascii="Arial" w:hAnsi="Arial" w:cs="Arial"/>
        </w:rPr>
        <w:t xml:space="preserve">Fuente: Semanario Judicial de la Federación </w:t>
      </w:r>
    </w:p>
    <w:p w:rsidR="00B0109C" w:rsidRPr="00B0109C" w:rsidRDefault="00B0109C" w:rsidP="00B0109C">
      <w:pPr>
        <w:spacing w:after="0" w:line="240" w:lineRule="auto"/>
        <w:jc w:val="both"/>
        <w:rPr>
          <w:rFonts w:ascii="Arial" w:hAnsi="Arial" w:cs="Arial"/>
        </w:rPr>
      </w:pPr>
      <w:r w:rsidRPr="00B0109C">
        <w:rPr>
          <w:rFonts w:ascii="Arial" w:hAnsi="Arial" w:cs="Arial"/>
        </w:rPr>
        <w:t xml:space="preserve">Publicación: viernes 17 de enero de 2020 10:18 h </w:t>
      </w:r>
    </w:p>
    <w:p w:rsidR="00B0109C" w:rsidRPr="00B0109C" w:rsidRDefault="00B0109C" w:rsidP="00B0109C">
      <w:pPr>
        <w:spacing w:after="0" w:line="240" w:lineRule="auto"/>
        <w:jc w:val="both"/>
        <w:rPr>
          <w:rFonts w:ascii="Arial" w:hAnsi="Arial" w:cs="Arial"/>
        </w:rPr>
      </w:pPr>
      <w:r w:rsidRPr="00B0109C">
        <w:rPr>
          <w:rFonts w:ascii="Arial" w:hAnsi="Arial" w:cs="Arial"/>
        </w:rPr>
        <w:t xml:space="preserve">Materia(s): (Penal) </w:t>
      </w:r>
    </w:p>
    <w:p w:rsidR="00B0109C" w:rsidRPr="00B0109C" w:rsidRDefault="00B0109C" w:rsidP="00B0109C">
      <w:pPr>
        <w:spacing w:after="0" w:line="240" w:lineRule="auto"/>
        <w:jc w:val="both"/>
        <w:rPr>
          <w:rFonts w:ascii="Arial" w:hAnsi="Arial" w:cs="Arial"/>
        </w:rPr>
      </w:pPr>
      <w:r w:rsidRPr="00B0109C">
        <w:rPr>
          <w:rFonts w:ascii="Arial" w:hAnsi="Arial" w:cs="Arial"/>
        </w:rPr>
        <w:t xml:space="preserve">Tesis: XXII.P.A.64 P (10a.) </w:t>
      </w:r>
    </w:p>
    <w:p w:rsidR="00B0109C" w:rsidRPr="00B0109C" w:rsidRDefault="00B0109C" w:rsidP="00B0109C">
      <w:pPr>
        <w:spacing w:after="0" w:line="240" w:lineRule="auto"/>
        <w:jc w:val="both"/>
        <w:rPr>
          <w:rFonts w:ascii="Arial" w:hAnsi="Arial" w:cs="Arial"/>
        </w:rPr>
      </w:pPr>
    </w:p>
    <w:p w:rsidR="00B0109C" w:rsidRPr="001241E3" w:rsidRDefault="00B0109C" w:rsidP="001241E3">
      <w:pPr>
        <w:pStyle w:val="Ttulo2"/>
        <w:jc w:val="both"/>
        <w:rPr>
          <w:rFonts w:ascii="Arial" w:hAnsi="Arial" w:cs="Arial"/>
          <w:sz w:val="26"/>
          <w:szCs w:val="26"/>
        </w:rPr>
      </w:pPr>
      <w:bookmarkStart w:id="4" w:name="_Toc30674844"/>
      <w:r w:rsidRPr="001241E3">
        <w:rPr>
          <w:rFonts w:ascii="Arial" w:hAnsi="Arial" w:cs="Arial"/>
          <w:color w:val="B35E06" w:themeColor="accent1" w:themeShade="BF"/>
          <w:sz w:val="26"/>
          <w:szCs w:val="26"/>
        </w:rPr>
        <w:t>AMPLIACIÓN DEL TÉRMINO CONSTITUCIONAL. LA INADMISIÓN DE DATOS DE PRUEBA AL MINISTERIO PÚBLICO DENTRO DE DICHO PLAZO NO VULNERA LOS PRINCIPIOS DE IGUALDAD PROCESAL NI DE CONTRADICCIÓN, PUES SU PRÓRROGA SE TRADUCE EN UN DERECHO EN FAVOR DE LA DEFENSA Y EL IMPUTADO QUE NO PUEDE OPERAR EN PERJUICIO DE ÉSTOS.</w:t>
      </w:r>
      <w:bookmarkEnd w:id="4"/>
    </w:p>
    <w:p w:rsidR="00B0109C" w:rsidRPr="00B0109C" w:rsidRDefault="00B0109C" w:rsidP="00B0109C">
      <w:pPr>
        <w:spacing w:after="0" w:line="240" w:lineRule="auto"/>
        <w:jc w:val="both"/>
        <w:rPr>
          <w:rFonts w:ascii="Arial" w:hAnsi="Arial" w:cs="Arial"/>
        </w:rPr>
      </w:pPr>
    </w:p>
    <w:p w:rsidR="00B0109C" w:rsidRPr="00B0109C" w:rsidRDefault="00B0109C" w:rsidP="00B0109C">
      <w:pPr>
        <w:spacing w:after="0" w:line="240" w:lineRule="auto"/>
        <w:jc w:val="both"/>
        <w:rPr>
          <w:rFonts w:ascii="Arial" w:hAnsi="Arial" w:cs="Arial"/>
        </w:rPr>
      </w:pPr>
      <w:r w:rsidRPr="00B0109C">
        <w:rPr>
          <w:rFonts w:ascii="Arial" w:hAnsi="Arial" w:cs="Arial"/>
        </w:rPr>
        <w:lastRenderedPageBreak/>
        <w:t>Los artículos 11 y 134, fracción I, del Código Nacional de Procedimientos Penales establecen que los juzgadores deben resolver los asuntos sometidos a su consideración, con sujeción a los principios que deben regir el proceso penal, entre ellos, el de igualdad entre las partes; sin embargo, de conformidad con los artículos 19 de la Constitución Política de los Estados Unidos Mexicanos y 314 del propio código, el órgano de acusación no puede solicitar la ampliación del término constitucional, ni ofrecer datos de prueba recabados dentro de dicha ampliación, pues se trata de un derecho exclusivo del imputado y su defensa. Esto, debido a que el plazo de setenta y dos horas establecido en el precepto constitucional citado, constituye un derecho fundamental, cuya ampliación procede única y exclusivamente cuando el imputado lo solicita, lo cual implica que esa extensión temporal debe operar a su favor y nunca en su contra. Por ello, podría pensarse que, al no darle la oportunidad al Ministerio Público de ofrecer datos de prueba dentro de ese periodo, se vulneran los principios de contradicción e igualdad, sin que esto sea así, pues, en principio, es un derecho del imputado o de su defensor presentar datos de prueba que considere necesarios durante el plazo constitucional o su ampliación; pero, además, porque existe obligación para la representación social de revelar los datos de prueba al imputado y su defensor, conforme al artículo 219 del código mencionado, en el cual se establece que una vez convocados a la audiencia inicial, el imputado y su defensor tienen derecho a consultar los registros de la investigación y a obtener copia, con la oportunidad debida para preparar la defensa; y otra razón es porque, precisamente, a propósito de esos datos de prueba revelados por el Ministerio Público es que el imputado y su defensor pueden preparar la defensa. Por lo cual, no se vulneran los principios de contradicción e igualdad en perjuicio de la fiscalía, pues durante la etapa intermedia ésta tiene la obligación de dar a conocer los medios de prueba que pretende ofrecer en la audiencia de juicio, en términos del artículo 337 del código referido.</w:t>
      </w:r>
    </w:p>
    <w:p w:rsidR="00B0109C" w:rsidRPr="00B0109C" w:rsidRDefault="00B0109C" w:rsidP="00B0109C">
      <w:pPr>
        <w:spacing w:after="0" w:line="240" w:lineRule="auto"/>
        <w:jc w:val="both"/>
        <w:rPr>
          <w:rFonts w:ascii="Arial" w:hAnsi="Arial" w:cs="Arial"/>
        </w:rPr>
      </w:pPr>
    </w:p>
    <w:p w:rsidR="00B0109C" w:rsidRPr="00B0109C" w:rsidRDefault="00B0109C" w:rsidP="00B0109C">
      <w:pPr>
        <w:spacing w:after="0" w:line="240" w:lineRule="auto"/>
        <w:jc w:val="both"/>
        <w:rPr>
          <w:rFonts w:ascii="Arial" w:hAnsi="Arial" w:cs="Arial"/>
        </w:rPr>
      </w:pPr>
      <w:r w:rsidRPr="00B0109C">
        <w:rPr>
          <w:rFonts w:ascii="Arial" w:hAnsi="Arial" w:cs="Arial"/>
        </w:rPr>
        <w:t>TRIBUNAL COLEGIADO EN MATERIAS PENAL Y ADMINISTRATIVA DEL VIGÉSIMO SEGUNDO CIRCUITO.</w:t>
      </w:r>
    </w:p>
    <w:p w:rsidR="00B0109C" w:rsidRPr="00B0109C" w:rsidRDefault="00B0109C" w:rsidP="00B0109C">
      <w:pPr>
        <w:spacing w:after="0" w:line="240" w:lineRule="auto"/>
        <w:jc w:val="both"/>
        <w:rPr>
          <w:rFonts w:ascii="Arial" w:hAnsi="Arial" w:cs="Arial"/>
        </w:rPr>
      </w:pPr>
    </w:p>
    <w:p w:rsidR="00B0109C" w:rsidRPr="00B0109C" w:rsidRDefault="00B0109C" w:rsidP="00B0109C">
      <w:pPr>
        <w:spacing w:after="0" w:line="240" w:lineRule="auto"/>
        <w:jc w:val="both"/>
        <w:rPr>
          <w:rFonts w:ascii="Arial" w:hAnsi="Arial" w:cs="Arial"/>
        </w:rPr>
      </w:pPr>
      <w:r w:rsidRPr="00B0109C">
        <w:rPr>
          <w:rFonts w:ascii="Arial" w:hAnsi="Arial" w:cs="Arial"/>
        </w:rPr>
        <w:t xml:space="preserve">Amparo en revisión 426/2018. 20 de junio de 2019. Unanimidad de votos. Ponente: Luis Almazán Barrera. Secretario: Roberto Jaime Nieto </w:t>
      </w:r>
      <w:proofErr w:type="spellStart"/>
      <w:r w:rsidRPr="00B0109C">
        <w:rPr>
          <w:rFonts w:ascii="Arial" w:hAnsi="Arial" w:cs="Arial"/>
        </w:rPr>
        <w:t>Arreygue</w:t>
      </w:r>
      <w:proofErr w:type="spellEnd"/>
      <w:r w:rsidRPr="00B0109C">
        <w:rPr>
          <w:rFonts w:ascii="Arial" w:hAnsi="Arial" w:cs="Arial"/>
        </w:rPr>
        <w:t>.</w:t>
      </w:r>
    </w:p>
    <w:p w:rsidR="00DA3ED4" w:rsidRPr="001241E3" w:rsidRDefault="00DA3ED4" w:rsidP="001241E3">
      <w:pPr>
        <w:pStyle w:val="Ttulo1"/>
        <w:numPr>
          <w:ilvl w:val="0"/>
          <w:numId w:val="11"/>
        </w:numPr>
        <w:spacing w:line="360" w:lineRule="auto"/>
        <w:jc w:val="center"/>
        <w:rPr>
          <w:rFonts w:ascii="Arial" w:hAnsi="Arial" w:cs="Arial"/>
          <w:color w:val="B35E06" w:themeColor="accent1" w:themeShade="BF"/>
          <w:sz w:val="36"/>
          <w:szCs w:val="36"/>
        </w:rPr>
      </w:pPr>
      <w:bookmarkStart w:id="5" w:name="_Toc22039258"/>
      <w:bookmarkStart w:id="6" w:name="_Toc5371743"/>
      <w:bookmarkStart w:id="7" w:name="_Toc5263202"/>
      <w:bookmarkStart w:id="8" w:name="_Toc5180179"/>
      <w:bookmarkStart w:id="9" w:name="_Toc1380861"/>
      <w:bookmarkStart w:id="10" w:name="_Toc779016"/>
      <w:bookmarkStart w:id="11" w:name="_Toc536439466"/>
      <w:bookmarkStart w:id="12" w:name="_Toc535924787"/>
      <w:bookmarkStart w:id="13" w:name="_Toc338652"/>
      <w:bookmarkStart w:id="14" w:name="_Toc1379638"/>
      <w:bookmarkStart w:id="15" w:name="_Toc2071030"/>
      <w:bookmarkStart w:id="16" w:name="_Toc11316582"/>
      <w:bookmarkStart w:id="17" w:name="_Toc13479248"/>
      <w:bookmarkStart w:id="18" w:name="_Toc13479882"/>
      <w:bookmarkStart w:id="19" w:name="_Toc13480931"/>
      <w:bookmarkStart w:id="20" w:name="_Toc15894289"/>
      <w:bookmarkStart w:id="21" w:name="_Toc15988715"/>
      <w:bookmarkStart w:id="22" w:name="_Toc16507517"/>
      <w:bookmarkStart w:id="23" w:name="_Toc21951268"/>
      <w:bookmarkStart w:id="24" w:name="_Toc21956617"/>
      <w:bookmarkStart w:id="25" w:name="_Toc21957333"/>
      <w:bookmarkStart w:id="26" w:name="_Toc22037644"/>
      <w:bookmarkStart w:id="27" w:name="_Toc22042399"/>
      <w:bookmarkStart w:id="28" w:name="_Toc22043913"/>
      <w:bookmarkStart w:id="29" w:name="_Toc30674845"/>
      <w:r w:rsidRPr="001241E3">
        <w:rPr>
          <w:rFonts w:ascii="Arial" w:hAnsi="Arial" w:cs="Arial"/>
          <w:color w:val="B35E06" w:themeColor="accent1" w:themeShade="BF"/>
          <w:sz w:val="36"/>
          <w:szCs w:val="36"/>
        </w:rPr>
        <w:lastRenderedPageBreak/>
        <w:t>FUENTES CONSULTADAS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A3ED4" w:rsidRDefault="00DA3ED4" w:rsidP="00DA3ED4">
      <w:pPr>
        <w:numPr>
          <w:ilvl w:val="0"/>
          <w:numId w:val="6"/>
        </w:numPr>
        <w:spacing w:after="0" w:line="360" w:lineRule="auto"/>
        <w:jc w:val="center"/>
        <w:rPr>
          <w:rFonts w:ascii="Arial" w:hAnsi="Arial" w:cs="Arial"/>
          <w:b/>
          <w:bCs/>
          <w:vanish/>
          <w:color w:val="B35E06" w:themeColor="accent1" w:themeShade="BF"/>
          <w:szCs w:val="24"/>
          <w:lang w:val="es-MX"/>
        </w:rPr>
      </w:pPr>
      <w:bookmarkStart w:id="30" w:name="_Toc536437384"/>
      <w:bookmarkStart w:id="31" w:name="_Toc536437577"/>
      <w:bookmarkStart w:id="32" w:name="_Toc536439344"/>
      <w:bookmarkStart w:id="33" w:name="_Toc536439427"/>
      <w:bookmarkStart w:id="34" w:name="_Toc536439467"/>
      <w:bookmarkStart w:id="35" w:name="_Toc338653"/>
      <w:bookmarkStart w:id="36" w:name="_Toc778876"/>
      <w:bookmarkStart w:id="37" w:name="_Toc779017"/>
      <w:bookmarkStart w:id="38" w:name="_Toc1379639"/>
      <w:bookmarkStart w:id="39" w:name="_Toc1380862"/>
      <w:bookmarkStart w:id="40" w:name="_Toc2071031"/>
      <w:bookmarkStart w:id="41" w:name="_Toc5180102"/>
      <w:bookmarkStart w:id="42" w:name="_Toc5180180"/>
      <w:bookmarkStart w:id="43" w:name="_Toc5262815"/>
      <w:bookmarkStart w:id="44" w:name="_Toc5263076"/>
      <w:bookmarkStart w:id="45" w:name="_Toc5263203"/>
      <w:bookmarkStart w:id="46" w:name="_Toc5263841"/>
      <w:bookmarkStart w:id="47" w:name="_Toc5263889"/>
      <w:bookmarkStart w:id="48" w:name="_Toc5263941"/>
      <w:bookmarkStart w:id="49" w:name="_Toc5273346"/>
      <w:bookmarkStart w:id="50" w:name="_Toc5277921"/>
      <w:bookmarkStart w:id="51" w:name="_Toc5371729"/>
      <w:bookmarkStart w:id="52" w:name="_Toc5371744"/>
      <w:bookmarkStart w:id="53" w:name="_Toc53643946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DA3ED4" w:rsidRDefault="00DA3ED4" w:rsidP="00DA3ED4">
      <w:pPr>
        <w:numPr>
          <w:ilvl w:val="0"/>
          <w:numId w:val="6"/>
        </w:numPr>
        <w:spacing w:after="0" w:line="360" w:lineRule="auto"/>
        <w:jc w:val="center"/>
        <w:rPr>
          <w:rFonts w:ascii="Arial" w:hAnsi="Arial" w:cs="Arial"/>
          <w:b/>
          <w:bCs/>
          <w:vanish/>
          <w:color w:val="B35E06" w:themeColor="accent1" w:themeShade="BF"/>
          <w:szCs w:val="24"/>
          <w:lang w:val="es-MX"/>
        </w:rPr>
      </w:pPr>
      <w:bookmarkStart w:id="54" w:name="_Toc338654"/>
      <w:bookmarkStart w:id="55" w:name="_Toc778877"/>
      <w:bookmarkStart w:id="56" w:name="_Toc779018"/>
      <w:bookmarkStart w:id="57" w:name="_Toc1379640"/>
      <w:bookmarkStart w:id="58" w:name="_Toc1380863"/>
      <w:bookmarkStart w:id="59" w:name="_Toc2071032"/>
      <w:bookmarkStart w:id="60" w:name="_Toc5180103"/>
      <w:bookmarkStart w:id="61" w:name="_Toc5180181"/>
      <w:bookmarkStart w:id="62" w:name="_Toc5262816"/>
      <w:bookmarkStart w:id="63" w:name="_Toc5263077"/>
      <w:bookmarkStart w:id="64" w:name="_Toc5263204"/>
      <w:bookmarkStart w:id="65" w:name="_Toc5263842"/>
      <w:bookmarkStart w:id="66" w:name="_Toc5263890"/>
      <w:bookmarkStart w:id="67" w:name="_Toc5263942"/>
      <w:bookmarkStart w:id="68" w:name="_Toc5273347"/>
      <w:bookmarkStart w:id="69" w:name="_Toc5277922"/>
      <w:bookmarkStart w:id="70" w:name="_Toc5371730"/>
      <w:bookmarkStart w:id="71" w:name="_Toc53717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A3ED4" w:rsidRDefault="00DA3ED4" w:rsidP="00DA3ED4">
      <w:pPr>
        <w:pStyle w:val="Ttulo2"/>
        <w:spacing w:line="360" w:lineRule="auto"/>
        <w:jc w:val="center"/>
        <w:rPr>
          <w:rFonts w:ascii="Arial" w:hAnsi="Arial" w:cs="Arial"/>
          <w:vanish/>
          <w:color w:val="B35E06" w:themeColor="accent1" w:themeShade="BF"/>
        </w:rPr>
      </w:pPr>
      <w:bookmarkStart w:id="72" w:name="_Toc22039259"/>
      <w:bookmarkStart w:id="73" w:name="_Toc5371746"/>
      <w:bookmarkStart w:id="74" w:name="_Toc5263205"/>
      <w:bookmarkStart w:id="75" w:name="_Toc5180182"/>
      <w:bookmarkStart w:id="76" w:name="_Toc1380864"/>
      <w:bookmarkStart w:id="77" w:name="_Toc779019"/>
      <w:bookmarkStart w:id="78" w:name="_Toc338655"/>
      <w:bookmarkStart w:id="79" w:name="_Toc1379641"/>
      <w:bookmarkStart w:id="80" w:name="_Toc2071033"/>
      <w:bookmarkStart w:id="81" w:name="_Toc11316583"/>
      <w:bookmarkStart w:id="82" w:name="_Toc13479249"/>
      <w:bookmarkStart w:id="83" w:name="_Toc13479883"/>
      <w:bookmarkStart w:id="84" w:name="_Toc13480932"/>
      <w:bookmarkStart w:id="85" w:name="_Toc15894290"/>
      <w:bookmarkStart w:id="86" w:name="_Toc15988716"/>
      <w:bookmarkStart w:id="87" w:name="_Toc16507518"/>
      <w:bookmarkStart w:id="88" w:name="_Toc21951269"/>
      <w:bookmarkStart w:id="89" w:name="_Toc21956618"/>
      <w:bookmarkStart w:id="90" w:name="_Toc21957334"/>
      <w:bookmarkStart w:id="91" w:name="_Toc22037645"/>
      <w:bookmarkStart w:id="92" w:name="_Toc22042400"/>
      <w:bookmarkStart w:id="93" w:name="_Toc22043914"/>
      <w:bookmarkStart w:id="94" w:name="_Toc30674846"/>
      <w:bookmarkStart w:id="95" w:name="_GoBack"/>
      <w:bookmarkEnd w:id="95"/>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96" w:name="_Toc524446387"/>
      <w:bookmarkStart w:id="97" w:name="_Toc524519068"/>
      <w:bookmarkStart w:id="98" w:name="_Toc524519163"/>
      <w:bookmarkStart w:id="99" w:name="_Toc524446390"/>
      <w:bookmarkStart w:id="100" w:name="_Toc524519071"/>
      <w:bookmarkStart w:id="101" w:name="_Toc524519166"/>
      <w:bookmarkEnd w:id="5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6"/>
      <w:bookmarkEnd w:id="97"/>
      <w:bookmarkEnd w:id="98"/>
      <w:bookmarkEnd w:id="99"/>
      <w:bookmarkEnd w:id="100"/>
      <w:bookmarkEnd w:id="101"/>
    </w:p>
    <w:p w:rsidR="00DA3ED4" w:rsidRDefault="00DA3ED4" w:rsidP="00DA3ED4">
      <w:pPr>
        <w:spacing w:after="0" w:line="360" w:lineRule="auto"/>
        <w:jc w:val="center"/>
        <w:rPr>
          <w:rFonts w:ascii="Arial" w:hAnsi="Arial" w:cs="Arial"/>
          <w:color w:val="B35E06" w:themeColor="accent1" w:themeShade="BF"/>
          <w:szCs w:val="24"/>
        </w:rPr>
      </w:pPr>
      <w:bookmarkStart w:id="102" w:name="_Toc524947297"/>
      <w:bookmarkStart w:id="103" w:name="_Toc525683586"/>
      <w:bookmarkStart w:id="104" w:name="_Toc525686134"/>
      <w:bookmarkStart w:id="105" w:name="_Toc525808260"/>
      <w:bookmarkStart w:id="106" w:name="_Toc525808291"/>
      <w:bookmarkStart w:id="107" w:name="_Toc525808454"/>
      <w:bookmarkStart w:id="108" w:name="_Toc524947298"/>
      <w:bookmarkStart w:id="109" w:name="_Toc525683587"/>
      <w:bookmarkStart w:id="110" w:name="_Toc525686135"/>
      <w:bookmarkStart w:id="111" w:name="_Toc525808261"/>
      <w:bookmarkStart w:id="112" w:name="_Toc525808292"/>
      <w:bookmarkStart w:id="113" w:name="_Toc525808455"/>
      <w:bookmarkStart w:id="114" w:name="_Toc524947299"/>
      <w:bookmarkStart w:id="115" w:name="_Toc525683588"/>
      <w:bookmarkStart w:id="116" w:name="_Toc525686136"/>
      <w:bookmarkStart w:id="117" w:name="_Toc525808262"/>
      <w:bookmarkStart w:id="118" w:name="_Toc525808293"/>
      <w:bookmarkStart w:id="119" w:name="_Toc525808456"/>
      <w:bookmarkStart w:id="120" w:name="_Toc524947300"/>
      <w:bookmarkStart w:id="121" w:name="_Toc525683589"/>
      <w:bookmarkStart w:id="122" w:name="_Toc525808294"/>
      <w:bookmarkStart w:id="123" w:name="_Toc525808457"/>
      <w:bookmarkStart w:id="124" w:name="_Toc53050378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DA3ED4" w:rsidRDefault="00DA3ED4" w:rsidP="00DA3ED4">
      <w:pPr>
        <w:pStyle w:val="Ttulo3"/>
        <w:jc w:val="center"/>
        <w:rPr>
          <w:rFonts w:ascii="Arial" w:hAnsi="Arial" w:cs="Arial"/>
          <w:b w:val="0"/>
          <w:color w:val="B35E06" w:themeColor="accent1" w:themeShade="BF"/>
        </w:rPr>
      </w:pPr>
      <w:bookmarkStart w:id="125" w:name="_Toc22039260"/>
      <w:bookmarkStart w:id="126" w:name="_Toc5371747"/>
      <w:bookmarkStart w:id="127" w:name="_Toc5263206"/>
      <w:bookmarkStart w:id="128" w:name="_Toc5180183"/>
      <w:bookmarkStart w:id="129" w:name="_Toc1380865"/>
      <w:bookmarkStart w:id="130" w:name="_Toc779020"/>
      <w:bookmarkStart w:id="131" w:name="_Toc536439469"/>
      <w:bookmarkStart w:id="132" w:name="_Toc338656"/>
      <w:bookmarkStart w:id="133" w:name="_Toc1379642"/>
      <w:bookmarkStart w:id="134" w:name="_Toc2071034"/>
      <w:bookmarkStart w:id="135" w:name="_Toc11316584"/>
      <w:bookmarkStart w:id="136" w:name="_Toc13479250"/>
      <w:bookmarkStart w:id="137" w:name="_Toc13479884"/>
      <w:bookmarkStart w:id="138" w:name="_Toc13480933"/>
      <w:bookmarkStart w:id="139" w:name="_Toc15894291"/>
      <w:bookmarkStart w:id="140" w:name="_Toc15988717"/>
      <w:bookmarkStart w:id="141" w:name="_Toc16507519"/>
      <w:bookmarkStart w:id="142" w:name="_Toc21951270"/>
      <w:bookmarkStart w:id="143" w:name="_Toc21956619"/>
      <w:bookmarkStart w:id="144" w:name="_Toc21957335"/>
      <w:bookmarkStart w:id="145" w:name="_Toc22037646"/>
      <w:bookmarkStart w:id="146" w:name="_Toc22042401"/>
      <w:bookmarkStart w:id="147" w:name="_Toc22043915"/>
      <w:bookmarkStart w:id="148" w:name="_Toc30674847"/>
      <w:r>
        <w:rPr>
          <w:rFonts w:ascii="Arial" w:hAnsi="Arial" w:cs="Arial"/>
          <w:b w:val="0"/>
          <w:color w:val="B35E06" w:themeColor="accent1" w:themeShade="BF"/>
        </w:rPr>
        <w:t>SEMANARIO JUDICIAL DE LA FEDERACIÓN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DA3ED4" w:rsidRDefault="00DA3ED4" w:rsidP="00DA3ED4"/>
    <w:p w:rsidR="00DA3ED4" w:rsidRDefault="00DA3ED4" w:rsidP="00DA3ED4">
      <w:pPr>
        <w:spacing w:after="0" w:line="240" w:lineRule="auto"/>
        <w:jc w:val="center"/>
        <w:rPr>
          <w:rFonts w:ascii="Arial" w:hAnsi="Arial" w:cs="Arial"/>
          <w:szCs w:val="24"/>
        </w:rPr>
      </w:pPr>
      <w:bookmarkStart w:id="149" w:name="_Toc525808458"/>
      <w:bookmarkStart w:id="150" w:name="_Toc525808295"/>
      <w:bookmarkStart w:id="151" w:name="_Toc525683590"/>
      <w:bookmarkStart w:id="152" w:name="_Toc524947301"/>
      <w:bookmarkStart w:id="153" w:name="_Toc530503785"/>
      <w:bookmarkEnd w:id="120"/>
      <w:bookmarkEnd w:id="121"/>
      <w:bookmarkEnd w:id="122"/>
      <w:bookmarkEnd w:id="123"/>
      <w:bookmarkEnd w:id="124"/>
      <w:r>
        <w:rPr>
          <w:rFonts w:ascii="Arial" w:hAnsi="Arial" w:cs="Arial"/>
          <w:bCs/>
          <w:szCs w:val="24"/>
        </w:rPr>
        <w:t>(https://sjf.scjn.gob.mx/SJFSem/Paginas/SemanarioV5.aspx</w:t>
      </w:r>
      <w:bookmarkEnd w:id="149"/>
      <w:bookmarkEnd w:id="150"/>
      <w:bookmarkEnd w:id="151"/>
      <w:bookmarkEnd w:id="152"/>
      <w:r>
        <w:rPr>
          <w:rFonts w:ascii="Arial" w:hAnsi="Arial" w:cs="Arial"/>
          <w:bCs/>
          <w:szCs w:val="24"/>
        </w:rPr>
        <w:t>)</w:t>
      </w:r>
      <w:bookmarkEnd w:id="153"/>
    </w:p>
    <w:p w:rsidR="00DA3ED4" w:rsidRDefault="00DA3ED4" w:rsidP="00DA3ED4">
      <w:pPr>
        <w:spacing w:after="0" w:line="240" w:lineRule="auto"/>
        <w:jc w:val="both"/>
        <w:rPr>
          <w:rFonts w:ascii="Arial" w:hAnsi="Arial" w:cs="Arial"/>
          <w:szCs w:val="24"/>
        </w:rPr>
      </w:pPr>
    </w:p>
    <w:p w:rsidR="00B0109C" w:rsidRPr="004A239C" w:rsidRDefault="00B0109C" w:rsidP="004A239C">
      <w:pPr>
        <w:spacing w:after="0" w:line="240" w:lineRule="auto"/>
        <w:jc w:val="both"/>
        <w:rPr>
          <w:rFonts w:ascii="Arial" w:hAnsi="Arial" w:cs="Arial"/>
        </w:rPr>
      </w:pPr>
    </w:p>
    <w:sectPr w:rsidR="00B0109C" w:rsidRPr="004A239C"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8C" w:rsidRDefault="006A438C">
      <w:pPr>
        <w:spacing w:after="0" w:line="240" w:lineRule="auto"/>
      </w:pPr>
      <w:r>
        <w:separator/>
      </w:r>
    </w:p>
  </w:endnote>
  <w:endnote w:type="continuationSeparator" w:id="0">
    <w:p w:rsidR="006A438C" w:rsidRDefault="006A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8C" w:rsidRDefault="006A438C">
      <w:pPr>
        <w:spacing w:after="0" w:line="240" w:lineRule="auto"/>
      </w:pPr>
      <w:r>
        <w:separator/>
      </w:r>
    </w:p>
  </w:footnote>
  <w:footnote w:type="continuationSeparator" w:id="0">
    <w:p w:rsidR="006A438C" w:rsidRDefault="006A438C">
      <w:pPr>
        <w:spacing w:after="0" w:line="240" w:lineRule="auto"/>
      </w:pPr>
      <w:r>
        <w:continuationSeparator/>
      </w:r>
    </w:p>
  </w:footnote>
  <w:footnote w:id="1">
    <w:p w:rsidR="001241E3" w:rsidRPr="001241E3" w:rsidRDefault="001241E3" w:rsidP="001241E3">
      <w:pPr>
        <w:spacing w:after="0" w:line="240" w:lineRule="auto"/>
        <w:jc w:val="both"/>
        <w:rPr>
          <w:rFonts w:ascii="Arial" w:hAnsi="Arial" w:cs="Arial"/>
          <w:color w:val="0070C0"/>
          <w:sz w:val="18"/>
          <w:szCs w:val="18"/>
        </w:rPr>
      </w:pPr>
      <w:r w:rsidRPr="001241E3">
        <w:rPr>
          <w:rStyle w:val="Refdenotaalpie"/>
          <w:rFonts w:ascii="Arial" w:hAnsi="Arial" w:cs="Arial"/>
          <w:color w:val="auto"/>
          <w:sz w:val="18"/>
          <w:szCs w:val="18"/>
        </w:rPr>
        <w:footnoteRef/>
      </w:r>
      <w:r w:rsidRPr="001241E3">
        <w:rPr>
          <w:rFonts w:ascii="Arial" w:hAnsi="Arial" w:cs="Arial"/>
          <w:color w:val="auto"/>
          <w:sz w:val="18"/>
          <w:szCs w:val="18"/>
        </w:rPr>
        <w:t xml:space="preserve"> </w:t>
      </w:r>
      <w:r w:rsidRPr="001241E3">
        <w:rPr>
          <w:rFonts w:ascii="Arial" w:hAnsi="Arial" w:cs="Arial"/>
          <w:color w:val="auto"/>
          <w:sz w:val="18"/>
          <w:szCs w:val="18"/>
        </w:rPr>
        <w:t>Esta tesis aparece de igual manera en la compilación de tesis en  materia constitucional y amparo</w:t>
      </w:r>
      <w:r w:rsidRPr="001241E3">
        <w:rPr>
          <w:rFonts w:ascii="Arial" w:hAnsi="Arial" w:cs="Arial"/>
          <w:color w:val="auto"/>
          <w:sz w:val="18"/>
          <w:szCs w:val="18"/>
        </w:rPr>
        <w:t>.</w:t>
      </w:r>
    </w:p>
  </w:footnote>
  <w:footnote w:id="2">
    <w:p w:rsidR="001241E3" w:rsidRPr="001241E3" w:rsidRDefault="001241E3" w:rsidP="001241E3">
      <w:pPr>
        <w:spacing w:after="0" w:line="240" w:lineRule="auto"/>
        <w:jc w:val="both"/>
        <w:rPr>
          <w:rFonts w:ascii="Arial" w:hAnsi="Arial" w:cs="Arial"/>
          <w:color w:val="0070C0"/>
          <w:sz w:val="18"/>
          <w:szCs w:val="18"/>
        </w:rPr>
      </w:pPr>
      <w:r w:rsidRPr="001241E3">
        <w:rPr>
          <w:rStyle w:val="Refdenotaalpie"/>
          <w:rFonts w:ascii="Arial" w:hAnsi="Arial" w:cs="Arial"/>
          <w:color w:val="auto"/>
          <w:sz w:val="18"/>
          <w:szCs w:val="18"/>
        </w:rPr>
        <w:footnoteRef/>
      </w:r>
      <w:r w:rsidRPr="001241E3">
        <w:rPr>
          <w:rFonts w:ascii="Arial" w:hAnsi="Arial" w:cs="Arial"/>
          <w:color w:val="auto"/>
          <w:sz w:val="18"/>
          <w:szCs w:val="18"/>
        </w:rPr>
        <w:t xml:space="preserve"> </w:t>
      </w:r>
      <w:r w:rsidRPr="001241E3">
        <w:rPr>
          <w:rFonts w:ascii="Arial" w:hAnsi="Arial" w:cs="Arial"/>
          <w:color w:val="auto"/>
          <w:sz w:val="18"/>
          <w:szCs w:val="18"/>
        </w:rPr>
        <w:t>Esta tesis aparece de igual manera en la compilación de tesis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177068BA"/>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1996"/>
    <w:rsid w:val="00087300"/>
    <w:rsid w:val="000A5150"/>
    <w:rsid w:val="000B22CA"/>
    <w:rsid w:val="000D02CC"/>
    <w:rsid w:val="000D40AA"/>
    <w:rsid w:val="000D68B2"/>
    <w:rsid w:val="000E584C"/>
    <w:rsid w:val="000F77E7"/>
    <w:rsid w:val="00113202"/>
    <w:rsid w:val="001241E3"/>
    <w:rsid w:val="00143A2B"/>
    <w:rsid w:val="0016234D"/>
    <w:rsid w:val="00166FFC"/>
    <w:rsid w:val="001725DB"/>
    <w:rsid w:val="00176ED5"/>
    <w:rsid w:val="001B2881"/>
    <w:rsid w:val="001B5733"/>
    <w:rsid w:val="001C13E2"/>
    <w:rsid w:val="001D0683"/>
    <w:rsid w:val="00205969"/>
    <w:rsid w:val="00222AA2"/>
    <w:rsid w:val="002263E7"/>
    <w:rsid w:val="00265521"/>
    <w:rsid w:val="002C0A64"/>
    <w:rsid w:val="002E0B9C"/>
    <w:rsid w:val="002E6287"/>
    <w:rsid w:val="002F2A9F"/>
    <w:rsid w:val="00303AE1"/>
    <w:rsid w:val="0031206A"/>
    <w:rsid w:val="00341C0A"/>
    <w:rsid w:val="003474DE"/>
    <w:rsid w:val="00357E72"/>
    <w:rsid w:val="00386915"/>
    <w:rsid w:val="003949BD"/>
    <w:rsid w:val="003B321C"/>
    <w:rsid w:val="003C17B6"/>
    <w:rsid w:val="003F21F5"/>
    <w:rsid w:val="003F3ACB"/>
    <w:rsid w:val="00425411"/>
    <w:rsid w:val="00453EC0"/>
    <w:rsid w:val="00455912"/>
    <w:rsid w:val="00464729"/>
    <w:rsid w:val="004A239C"/>
    <w:rsid w:val="004B7ECB"/>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47CE5"/>
    <w:rsid w:val="00650E02"/>
    <w:rsid w:val="00655271"/>
    <w:rsid w:val="006651B3"/>
    <w:rsid w:val="00691094"/>
    <w:rsid w:val="006A438C"/>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92480"/>
    <w:rsid w:val="00996CDB"/>
    <w:rsid w:val="009C0993"/>
    <w:rsid w:val="009E413B"/>
    <w:rsid w:val="00A448C1"/>
    <w:rsid w:val="00A65F33"/>
    <w:rsid w:val="00A75F43"/>
    <w:rsid w:val="00A91AFB"/>
    <w:rsid w:val="00AA308A"/>
    <w:rsid w:val="00AA7AA0"/>
    <w:rsid w:val="00AB4981"/>
    <w:rsid w:val="00AD20E5"/>
    <w:rsid w:val="00AD5C3F"/>
    <w:rsid w:val="00AF05BD"/>
    <w:rsid w:val="00AF169A"/>
    <w:rsid w:val="00AF4622"/>
    <w:rsid w:val="00B0109C"/>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A6B4F"/>
    <w:rsid w:val="00CB208F"/>
    <w:rsid w:val="00CC0644"/>
    <w:rsid w:val="00CD28BF"/>
    <w:rsid w:val="00D30ED6"/>
    <w:rsid w:val="00D522B9"/>
    <w:rsid w:val="00D72CB4"/>
    <w:rsid w:val="00DA37BB"/>
    <w:rsid w:val="00DA3ED4"/>
    <w:rsid w:val="00DA4A43"/>
    <w:rsid w:val="00DA5BEB"/>
    <w:rsid w:val="00DB03AC"/>
    <w:rsid w:val="00DE395C"/>
    <w:rsid w:val="00DF064B"/>
    <w:rsid w:val="00DF6BD2"/>
    <w:rsid w:val="00E105CD"/>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94B1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014FE-81F0-4E9B-B6B3-5660B783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7</Pages>
  <Words>1738</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2020-01-21T20:58:00Z</dcterms:created>
  <dcterms:modified xsi:type="dcterms:W3CDTF">2020-01-23T18:28:00Z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